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3810" w14:textId="77777777" w:rsidR="002576E5" w:rsidRPr="006F41A0" w:rsidRDefault="002576E5" w:rsidP="002576E5">
      <w:pPr>
        <w:pStyle w:val="Heading3"/>
        <w:rPr>
          <w:sz w:val="36"/>
          <w:szCs w:val="36"/>
        </w:rPr>
      </w:pPr>
      <w:r w:rsidRPr="006F41A0">
        <w:rPr>
          <w:i/>
          <w:iCs/>
          <w:color w:val="00B0F0"/>
          <w:sz w:val="36"/>
          <w:szCs w:val="36"/>
        </w:rPr>
        <w:t>PRESS RELEASE</w:t>
      </w:r>
    </w:p>
    <w:p w14:paraId="1388AF1B" w14:textId="77777777" w:rsidR="002576E5" w:rsidRDefault="002576E5" w:rsidP="002576E5">
      <w:pPr>
        <w:jc w:val="both"/>
        <w:rPr>
          <w:rFonts w:ascii="Verdana" w:eastAsia="Verdana" w:hAnsi="Verdana" w:cs="Verdana"/>
          <w:b/>
          <w:bCs/>
          <w:color w:val="FF0000"/>
          <w:sz w:val="20"/>
          <w:szCs w:val="20"/>
          <w:lang w:val="en-AU"/>
        </w:rPr>
      </w:pPr>
      <w:r w:rsidRPr="522CFD1C">
        <w:rPr>
          <w:rFonts w:ascii="Verdana" w:eastAsia="Verdana" w:hAnsi="Verdana" w:cs="Verdana"/>
          <w:b/>
          <w:bCs/>
          <w:color w:val="FF0000"/>
          <w:sz w:val="20"/>
          <w:szCs w:val="20"/>
          <w:lang w:val="en-AU"/>
        </w:rPr>
        <w:t>EMBARGOED until 00.01 AM GMT, 1 December 2023</w:t>
      </w:r>
    </w:p>
    <w:p w14:paraId="7DB26ADB" w14:textId="77777777" w:rsidR="002576E5" w:rsidRDefault="002576E5" w:rsidP="002576E5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4AFB373C">
        <w:rPr>
          <w:rFonts w:ascii="Verdana" w:eastAsia="Verdana" w:hAnsi="Verdana" w:cs="Verdana"/>
          <w:b/>
          <w:bCs/>
          <w:sz w:val="28"/>
          <w:szCs w:val="28"/>
        </w:rPr>
        <w:t>Despite progress,</w:t>
      </w:r>
      <w:r w:rsidRPr="16F37E98">
        <w:rPr>
          <w:rFonts w:ascii="Verdana" w:eastAsia="Verdana" w:hAnsi="Verdana" w:cs="Verdana"/>
          <w:b/>
          <w:bCs/>
          <w:sz w:val="28"/>
          <w:szCs w:val="28"/>
        </w:rPr>
        <w:t xml:space="preserve"> adolescent</w:t>
      </w:r>
      <w:r w:rsidRPr="14417CB3">
        <w:rPr>
          <w:rFonts w:ascii="Verdana" w:eastAsia="Verdana" w:hAnsi="Verdana" w:cs="Verdana"/>
          <w:b/>
          <w:bCs/>
          <w:sz w:val="28"/>
          <w:szCs w:val="28"/>
        </w:rPr>
        <w:t xml:space="preserve"> girls continue to bear the brunt of </w:t>
      </w:r>
      <w:r w:rsidRPr="10B4B733">
        <w:rPr>
          <w:rFonts w:ascii="Verdana" w:eastAsia="Verdana" w:hAnsi="Verdana" w:cs="Verdana"/>
          <w:b/>
          <w:bCs/>
          <w:sz w:val="28"/>
          <w:szCs w:val="28"/>
        </w:rPr>
        <w:t xml:space="preserve">the </w:t>
      </w:r>
      <w:r w:rsidRPr="14417CB3">
        <w:rPr>
          <w:rFonts w:ascii="Verdana" w:eastAsia="Verdana" w:hAnsi="Verdana" w:cs="Verdana"/>
          <w:b/>
          <w:bCs/>
          <w:sz w:val="28"/>
          <w:szCs w:val="28"/>
        </w:rPr>
        <w:t xml:space="preserve">HIV epidemic with 98,000 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new </w:t>
      </w:r>
      <w:r w:rsidRPr="14417CB3">
        <w:rPr>
          <w:rFonts w:ascii="Verdana" w:eastAsia="Verdana" w:hAnsi="Verdana" w:cs="Verdana"/>
          <w:b/>
          <w:bCs/>
          <w:sz w:val="28"/>
          <w:szCs w:val="28"/>
        </w:rPr>
        <w:t>infections in 2022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 </w:t>
      </w:r>
      <w:r w:rsidRPr="4D3A15BE">
        <w:rPr>
          <w:rFonts w:ascii="Verdana" w:eastAsia="Verdana" w:hAnsi="Verdana" w:cs="Verdana"/>
          <w:b/>
          <w:bCs/>
          <w:sz w:val="28"/>
          <w:szCs w:val="28"/>
        </w:rPr>
        <w:t>- UNICEF</w:t>
      </w:r>
      <w:r w:rsidRPr="14417CB3">
        <w:rPr>
          <w:rFonts w:ascii="Verdana" w:eastAsia="Verdana" w:hAnsi="Verdana" w:cs="Verdana"/>
          <w:b/>
          <w:bCs/>
          <w:sz w:val="28"/>
          <w:szCs w:val="28"/>
        </w:rPr>
        <w:t xml:space="preserve"> </w:t>
      </w:r>
      <w:r>
        <w:br/>
      </w:r>
      <w:r>
        <w:br/>
      </w:r>
      <w:r w:rsidRPr="4AFB373C">
        <w:rPr>
          <w:rFonts w:ascii="Verdana" w:eastAsia="Verdana" w:hAnsi="Verdana" w:cs="Verdana"/>
          <w:i/>
          <w:iCs/>
          <w:sz w:val="24"/>
          <w:szCs w:val="24"/>
        </w:rPr>
        <w:t>Children</w:t>
      </w:r>
      <w:r w:rsidRPr="14417CB3">
        <w:rPr>
          <w:rFonts w:ascii="Verdana" w:eastAsia="Verdana" w:hAnsi="Verdana" w:cs="Verdana"/>
          <w:i/>
          <w:iCs/>
          <w:sz w:val="24"/>
          <w:szCs w:val="24"/>
        </w:rPr>
        <w:t xml:space="preserve"> and adolescents </w:t>
      </w:r>
      <w:r>
        <w:rPr>
          <w:rFonts w:ascii="Verdana" w:eastAsia="Verdana" w:hAnsi="Verdana" w:cs="Verdana"/>
          <w:i/>
          <w:iCs/>
          <w:sz w:val="24"/>
          <w:szCs w:val="24"/>
        </w:rPr>
        <w:t>face s</w:t>
      </w:r>
      <w:r w:rsidRPr="14417CB3">
        <w:rPr>
          <w:rFonts w:ascii="Verdana" w:eastAsia="Verdana" w:hAnsi="Verdana" w:cs="Verdana"/>
          <w:i/>
          <w:iCs/>
          <w:sz w:val="24"/>
          <w:szCs w:val="24"/>
        </w:rPr>
        <w:t>ignificant treatment gap</w:t>
      </w:r>
      <w:r>
        <w:rPr>
          <w:rFonts w:ascii="Verdana" w:eastAsia="Verdana" w:hAnsi="Verdana" w:cs="Verdana"/>
          <w:i/>
          <w:iCs/>
          <w:sz w:val="24"/>
          <w:szCs w:val="24"/>
        </w:rPr>
        <w:t>s</w:t>
      </w:r>
      <w:r w:rsidRPr="14417CB3">
        <w:rPr>
          <w:rFonts w:ascii="Verdana" w:eastAsia="Verdana" w:hAnsi="Verdana" w:cs="Verdana"/>
          <w:i/>
          <w:iCs/>
          <w:sz w:val="24"/>
          <w:szCs w:val="24"/>
        </w:rPr>
        <w:t xml:space="preserve"> </w:t>
      </w:r>
      <w:r w:rsidRPr="4AFB373C">
        <w:rPr>
          <w:rFonts w:ascii="Verdana" w:eastAsia="Verdana" w:hAnsi="Verdana" w:cs="Verdana"/>
          <w:i/>
          <w:iCs/>
          <w:sz w:val="24"/>
          <w:szCs w:val="24"/>
        </w:rPr>
        <w:t>in</w:t>
      </w:r>
      <w:r w:rsidRPr="14417CB3">
        <w:rPr>
          <w:rFonts w:ascii="Verdana" w:eastAsia="Verdana" w:hAnsi="Verdana" w:cs="Verdana"/>
          <w:i/>
          <w:iCs/>
          <w:sz w:val="24"/>
          <w:szCs w:val="24"/>
        </w:rPr>
        <w:t xml:space="preserve"> testing and access to medication</w:t>
      </w:r>
    </w:p>
    <w:p w14:paraId="40BA61C6" w14:textId="145920D6" w:rsidR="002576E5" w:rsidRPr="00015E4B" w:rsidRDefault="002576E5" w:rsidP="002576E5">
      <w:pPr>
        <w:spacing w:after="0" w:line="240" w:lineRule="auto"/>
        <w:rPr>
          <w:rFonts w:ascii="Verdana" w:hAnsi="Verdana"/>
        </w:rPr>
      </w:pPr>
      <w:r w:rsidRPr="522CFD1C">
        <w:rPr>
          <w:rFonts w:ascii="Verdana" w:eastAsia="Verdana" w:hAnsi="Verdana" w:cs="Verdana"/>
          <w:b/>
          <w:bCs/>
          <w:sz w:val="20"/>
          <w:szCs w:val="20"/>
        </w:rPr>
        <w:t>NEW YORK, 1 December 2023</w:t>
      </w:r>
      <w:r w:rsidRPr="522CFD1C">
        <w:rPr>
          <w:rFonts w:ascii="Verdana" w:eastAsia="Verdana" w:hAnsi="Verdana" w:cs="Verdana"/>
          <w:sz w:val="20"/>
          <w:szCs w:val="20"/>
        </w:rPr>
        <w:t xml:space="preserve"> </w:t>
      </w:r>
      <w:r w:rsidRPr="522CFD1C">
        <w:rPr>
          <w:rFonts w:ascii="Verdana" w:eastAsia="Verdana" w:hAnsi="Verdana" w:cs="Verdana"/>
          <w:b/>
          <w:bCs/>
          <w:sz w:val="20"/>
          <w:szCs w:val="20"/>
        </w:rPr>
        <w:t xml:space="preserve">– </w:t>
      </w:r>
      <w:r w:rsidRPr="522CFD1C">
        <w:rPr>
          <w:rFonts w:ascii="Verdana" w:eastAsia="Verdana" w:hAnsi="Verdana" w:cs="Verdana"/>
          <w:sz w:val="20"/>
          <w:szCs w:val="20"/>
        </w:rPr>
        <w:t xml:space="preserve">Nearly 98,000 adolescent girls aged 10-19 were infected with HIV in 2022 – or 1,900 new infections every </w:t>
      </w:r>
      <w:r w:rsidRPr="00015E4B">
        <w:rPr>
          <w:rFonts w:ascii="Verdana" w:eastAsia="Verdana" w:hAnsi="Verdana" w:cs="Verdana"/>
          <w:sz w:val="20"/>
          <w:szCs w:val="20"/>
        </w:rPr>
        <w:t>week – according to U</w:t>
      </w:r>
      <w:r w:rsidRPr="00015E4B">
        <w:rPr>
          <w:rFonts w:ascii="Verdana" w:eastAsia="Verdana" w:hAnsi="Verdana" w:cs="Verdana"/>
          <w:sz w:val="20"/>
          <w:szCs w:val="20"/>
          <w:lang w:val="en-GB"/>
        </w:rPr>
        <w:t xml:space="preserve">NICEF’s latest </w:t>
      </w:r>
      <w:hyperlink r:id="rId6">
        <w:r w:rsidRPr="00015E4B">
          <w:rPr>
            <w:rStyle w:val="Hyperlink"/>
            <w:rFonts w:ascii="Verdana" w:eastAsia="Verdana" w:hAnsi="Verdana" w:cs="Verdana"/>
            <w:sz w:val="20"/>
            <w:szCs w:val="20"/>
            <w:lang w:val="en-GB"/>
          </w:rPr>
          <w:t>Global Snapshot on Children with HIV and AIDS</w:t>
        </w:r>
      </w:hyperlink>
      <w:r w:rsidRPr="00015E4B">
        <w:rPr>
          <w:rFonts w:ascii="Verdana" w:eastAsia="Verdana" w:hAnsi="Verdana" w:cs="Verdana"/>
          <w:sz w:val="20"/>
          <w:szCs w:val="20"/>
          <w:lang w:val="en-GB"/>
        </w:rPr>
        <w:t>, released ahead of World AIDS Day.</w:t>
      </w:r>
      <w:r w:rsidRPr="00015E4B">
        <w:rPr>
          <w:rFonts w:ascii="Verdana" w:eastAsia="Verdana" w:hAnsi="Verdana" w:cs="Verdana"/>
          <w:sz w:val="20"/>
          <w:szCs w:val="20"/>
        </w:rPr>
        <w:t xml:space="preserve"> </w:t>
      </w:r>
      <w:r w:rsidRPr="00015E4B">
        <w:rPr>
          <w:rFonts w:ascii="Verdana" w:hAnsi="Verdana"/>
        </w:rPr>
        <w:br/>
      </w:r>
      <w:r w:rsidRPr="00015E4B">
        <w:rPr>
          <w:rFonts w:ascii="Verdana" w:hAnsi="Verdana"/>
        </w:rPr>
        <w:br/>
      </w:r>
      <w:r w:rsidR="00015E4B" w:rsidRPr="00015E4B"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  <w:lang w:val="en-GB"/>
        </w:rPr>
        <w:t>While total infections among girls aged 10-19 have almost halved since 2010 – from 190,000 to 98,000 – girls were still more than twice as likely to contract HIV</w:t>
      </w:r>
      <w:r w:rsidR="00852AD1"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852AD1" w:rsidRPr="00015E4B"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  <w:lang w:val="en-GB"/>
        </w:rPr>
        <w:t>last year</w:t>
      </w:r>
      <w:r w:rsidR="00852AD1"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  <w:lang w:val="en-GB"/>
        </w:rPr>
        <w:t>, than boys</w:t>
      </w:r>
      <w:r w:rsidR="00015E4B" w:rsidRPr="00015E4B"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  <w:lang w:val="en-GB"/>
        </w:rPr>
        <w:t>. Globally, there were 270,000 new HIV infections among all children and adolescents aged 0-19 in 2022, bringing the total number of young people living with HIV to 2.6 million.</w:t>
      </w:r>
      <w:r w:rsidR="006F41A0" w:rsidRPr="00015E4B">
        <w:rPr>
          <w:rFonts w:ascii="Verdana" w:hAnsi="Verdana"/>
          <w:lang w:val="en-GB"/>
        </w:rPr>
        <w:br/>
      </w:r>
    </w:p>
    <w:p w14:paraId="4945B97A" w14:textId="77777777" w:rsidR="002576E5" w:rsidRDefault="002576E5" w:rsidP="002576E5">
      <w:pPr>
        <w:spacing w:after="0" w:line="240" w:lineRule="auto"/>
        <w:rPr>
          <w:rFonts w:ascii="Verdana" w:eastAsia="Verdana" w:hAnsi="Verdana" w:cs="Verdana"/>
          <w:sz w:val="20"/>
          <w:szCs w:val="20"/>
          <w:lang w:val="en-GB"/>
        </w:rPr>
      </w:pPr>
      <w:r w:rsidRPr="00015E4B">
        <w:rPr>
          <w:rFonts w:ascii="Verdana" w:eastAsia="Verdana" w:hAnsi="Verdana" w:cs="Verdana"/>
          <w:sz w:val="20"/>
          <w:szCs w:val="20"/>
          <w:lang w:val="en-GB"/>
        </w:rPr>
        <w:t xml:space="preserve">“It is unacceptable that adolescent girls, who should be planning their futures, continue to bear the heaviest burden of HIV infection,” said </w:t>
      </w:r>
      <w:r w:rsidRPr="00015E4B">
        <w:rPr>
          <w:rFonts w:ascii="Verdana" w:eastAsia="Verdana" w:hAnsi="Verdana" w:cs="Verdana"/>
          <w:sz w:val="20"/>
          <w:szCs w:val="20"/>
        </w:rPr>
        <w:t>UNICEF Associate Director of HIV/AIDS Anurita Bains.</w:t>
      </w:r>
      <w:r w:rsidRPr="00015E4B">
        <w:rPr>
          <w:rFonts w:ascii="Verdana" w:eastAsia="Verdana" w:hAnsi="Verdana" w:cs="Verdana"/>
          <w:sz w:val="20"/>
          <w:szCs w:val="20"/>
          <w:lang w:val="en-GB"/>
        </w:rPr>
        <w:t xml:space="preserve"> “We – the UN, communities, </w:t>
      </w:r>
      <w:proofErr w:type="gramStart"/>
      <w:r w:rsidRPr="00015E4B">
        <w:rPr>
          <w:rFonts w:ascii="Verdana" w:eastAsia="Verdana" w:hAnsi="Verdana" w:cs="Verdana"/>
          <w:sz w:val="20"/>
          <w:szCs w:val="20"/>
          <w:lang w:val="en-GB"/>
        </w:rPr>
        <w:t>governments</w:t>
      </w:r>
      <w:proofErr w:type="gramEnd"/>
      <w:r w:rsidRPr="00015E4B">
        <w:rPr>
          <w:rFonts w:ascii="Verdana" w:eastAsia="Verdana" w:hAnsi="Verdana" w:cs="Verdana"/>
          <w:sz w:val="20"/>
          <w:szCs w:val="20"/>
          <w:lang w:val="en-GB"/>
        </w:rPr>
        <w:t xml:space="preserve"> and organisations – must eradicate the obstacles that make HIV a threat to their</w:t>
      </w:r>
      <w:r w:rsidRPr="522CFD1C">
        <w:rPr>
          <w:rFonts w:ascii="Verdana" w:eastAsia="Verdana" w:hAnsi="Verdana" w:cs="Verdana"/>
          <w:sz w:val="20"/>
          <w:szCs w:val="20"/>
          <w:lang w:val="en-GB"/>
        </w:rPr>
        <w:t xml:space="preserve"> health and wellbeing. This includes ensuring the sexual and reproductive health and rights of adolescent girls and young women are met.” </w:t>
      </w:r>
    </w:p>
    <w:p w14:paraId="12E96147" w14:textId="77777777" w:rsidR="002576E5" w:rsidRDefault="002576E5" w:rsidP="002576E5">
      <w:pPr>
        <w:spacing w:after="0" w:line="240" w:lineRule="auto"/>
        <w:rPr>
          <w:rFonts w:ascii="Verdana" w:eastAsia="Verdana" w:hAnsi="Verdana" w:cs="Verdana"/>
          <w:sz w:val="20"/>
          <w:szCs w:val="20"/>
          <w:lang w:val="en-GB"/>
        </w:rPr>
      </w:pPr>
    </w:p>
    <w:p w14:paraId="1E45A01C" w14:textId="6DF403C4" w:rsidR="002576E5" w:rsidRDefault="002576E5" w:rsidP="002576E5">
      <w:pPr>
        <w:spacing w:after="0" w:line="240" w:lineRule="auto"/>
        <w:rPr>
          <w:rFonts w:ascii="Verdana" w:eastAsia="Verdana" w:hAnsi="Verdana" w:cs="Verdana"/>
          <w:sz w:val="20"/>
          <w:szCs w:val="20"/>
          <w:lang w:val="en-GB"/>
        </w:rPr>
      </w:pPr>
      <w:r w:rsidRPr="522CFD1C">
        <w:rPr>
          <w:rFonts w:ascii="Verdana" w:eastAsia="Verdana" w:hAnsi="Verdana" w:cs="Verdana"/>
          <w:sz w:val="20"/>
          <w:szCs w:val="20"/>
          <w:lang w:val="en-GB"/>
        </w:rPr>
        <w:t>Girls continue to bear the brunt of the HIV epidemic due, in-part, to gender inequalities which often result in girls being disempowered to negotiate safe sex</w:t>
      </w:r>
      <w:r w:rsidR="00711A8C">
        <w:rPr>
          <w:rFonts w:ascii="Verdana" w:eastAsia="Verdana" w:hAnsi="Verdana" w:cs="Verdana"/>
          <w:sz w:val="20"/>
          <w:szCs w:val="20"/>
          <w:lang w:val="en-GB"/>
        </w:rPr>
        <w:t>;</w:t>
      </w:r>
      <w:r w:rsidRPr="522CFD1C">
        <w:rPr>
          <w:rFonts w:ascii="Verdana" w:eastAsia="Verdana" w:hAnsi="Verdana" w:cs="Verdana"/>
          <w:sz w:val="20"/>
          <w:szCs w:val="20"/>
          <w:lang w:val="en-GB"/>
        </w:rPr>
        <w:t xml:space="preserve"> poverty that manifests in communities being located far from healthcare centres</w:t>
      </w:r>
      <w:r w:rsidR="00711A8C">
        <w:rPr>
          <w:rFonts w:ascii="Verdana" w:eastAsia="Verdana" w:hAnsi="Verdana" w:cs="Verdana"/>
          <w:sz w:val="20"/>
          <w:szCs w:val="20"/>
          <w:lang w:val="en-GB"/>
        </w:rPr>
        <w:t>;</w:t>
      </w:r>
      <w:r w:rsidRPr="522CFD1C">
        <w:rPr>
          <w:rFonts w:ascii="Verdana" w:eastAsia="Verdana" w:hAnsi="Verdana" w:cs="Verdana"/>
          <w:sz w:val="20"/>
          <w:szCs w:val="20"/>
          <w:lang w:val="en-GB"/>
        </w:rPr>
        <w:t xml:space="preserve"> and a lack of access to HIV prevention and sexual and reproductive health programmes. </w:t>
      </w:r>
      <w:r>
        <w:br/>
      </w:r>
      <w:r>
        <w:br/>
      </w:r>
      <w:r w:rsidRPr="522CFD1C">
        <w:rPr>
          <w:rFonts w:ascii="Verdana" w:eastAsia="Verdana" w:hAnsi="Verdana" w:cs="Verdana"/>
          <w:sz w:val="20"/>
          <w:szCs w:val="20"/>
          <w:lang w:val="en-GB"/>
        </w:rPr>
        <w:t xml:space="preserve">In sub-Saharan Africa, </w:t>
      </w:r>
      <w:r w:rsidR="00711A8C">
        <w:rPr>
          <w:rFonts w:ascii="Verdana" w:eastAsia="Verdana" w:hAnsi="Verdana" w:cs="Verdana"/>
          <w:sz w:val="20"/>
          <w:szCs w:val="20"/>
          <w:lang w:val="en-GB"/>
        </w:rPr>
        <w:t xml:space="preserve">HIV </w:t>
      </w:r>
      <w:r w:rsidRPr="522CFD1C">
        <w:rPr>
          <w:rFonts w:ascii="Verdana" w:eastAsia="Verdana" w:hAnsi="Verdana" w:cs="Verdana"/>
          <w:sz w:val="20"/>
          <w:szCs w:val="20"/>
          <w:lang w:val="en-GB"/>
        </w:rPr>
        <w:t>prevalence among adolescent girls and young women, aged 10-24 years, is persistently over three times higher than among their male counterparts.</w:t>
      </w:r>
      <w:r>
        <w:br/>
      </w:r>
      <w:r>
        <w:br/>
      </w:r>
      <w:r w:rsidRPr="522CFD1C">
        <w:rPr>
          <w:rFonts w:ascii="Verdana" w:eastAsia="Verdana" w:hAnsi="Verdana" w:cs="Verdana"/>
          <w:sz w:val="20"/>
          <w:szCs w:val="20"/>
          <w:lang w:val="en-GB"/>
        </w:rPr>
        <w:t xml:space="preserve">The latest data shows that Eastern and Southern Africa continues to carry the overwhelming burden of HIV infection, with 137,000 new infections among the 0-19 age group in 2022, followed by West and Central Africa (66,000 new infections among 0-19), East Asia and the Pacific (21,600 new infections 0-19), Latin America and the Caribbean (16,300 new infections 0-19) and South Asia (14,400 new infections 0-19). </w:t>
      </w:r>
      <w:r>
        <w:br/>
      </w:r>
    </w:p>
    <w:p w14:paraId="701C184D" w14:textId="77777777" w:rsidR="002576E5" w:rsidRDefault="002576E5" w:rsidP="002576E5">
      <w:pPr>
        <w:spacing w:after="0" w:line="240" w:lineRule="auto"/>
        <w:rPr>
          <w:rFonts w:ascii="Verdana" w:eastAsia="Verdana" w:hAnsi="Verdana" w:cs="Verdana"/>
          <w:sz w:val="20"/>
          <w:szCs w:val="20"/>
          <w:lang w:val="en-GB"/>
        </w:rPr>
      </w:pPr>
      <w:r w:rsidRPr="522CFD1C">
        <w:rPr>
          <w:rFonts w:ascii="Verdana" w:eastAsia="Verdana" w:hAnsi="Verdana" w:cs="Verdana"/>
          <w:sz w:val="20"/>
          <w:szCs w:val="20"/>
          <w:lang w:val="en-GB"/>
        </w:rPr>
        <w:t xml:space="preserve">The Global Snapshot further highlights how children and young adolescents face considerable inequities when it comes to access to treatment, compared to adults. Globally, nearly one million people aged 0-19 living with HIV are not receiving treatment, and more than half of this group – about 60 per cent – are in Eastern and Southern Africa. </w:t>
      </w:r>
    </w:p>
    <w:p w14:paraId="00DD42C7" w14:textId="77777777" w:rsidR="002576E5" w:rsidRDefault="002576E5" w:rsidP="002576E5">
      <w:pPr>
        <w:spacing w:after="0" w:line="240" w:lineRule="auto"/>
        <w:rPr>
          <w:rFonts w:ascii="Verdana" w:eastAsia="Verdana" w:hAnsi="Verdana" w:cs="Verdana"/>
          <w:sz w:val="20"/>
          <w:szCs w:val="20"/>
          <w:lang w:val="en-GB"/>
        </w:rPr>
      </w:pPr>
    </w:p>
    <w:p w14:paraId="4357890F" w14:textId="10038830" w:rsidR="002576E5" w:rsidRDefault="002576E5" w:rsidP="002576E5">
      <w:pPr>
        <w:spacing w:after="0" w:line="240" w:lineRule="auto"/>
        <w:rPr>
          <w:rFonts w:ascii="Verdana" w:eastAsia="Verdana" w:hAnsi="Verdana" w:cs="Verdana"/>
          <w:sz w:val="20"/>
          <w:szCs w:val="20"/>
          <w:lang w:val="en-GB"/>
        </w:rPr>
      </w:pPr>
      <w:r w:rsidRPr="522CFD1C">
        <w:rPr>
          <w:rFonts w:ascii="Verdana" w:eastAsia="Verdana" w:hAnsi="Verdana" w:cs="Verdana"/>
          <w:sz w:val="20"/>
          <w:szCs w:val="20"/>
          <w:lang w:val="en-GB"/>
        </w:rPr>
        <w:t>Cumbersome diagnostic processes for children</w:t>
      </w:r>
      <w:r w:rsidR="00711A8C">
        <w:rPr>
          <w:rFonts w:ascii="Verdana" w:eastAsia="Verdana" w:hAnsi="Verdana" w:cs="Verdana"/>
          <w:sz w:val="20"/>
          <w:szCs w:val="20"/>
          <w:lang w:val="en-GB"/>
        </w:rPr>
        <w:t>;</w:t>
      </w:r>
      <w:r w:rsidRPr="522CFD1C">
        <w:rPr>
          <w:rFonts w:ascii="Verdana" w:eastAsia="Verdana" w:hAnsi="Verdana" w:cs="Verdana"/>
          <w:sz w:val="20"/>
          <w:szCs w:val="20"/>
          <w:lang w:val="en-GB"/>
        </w:rPr>
        <w:t xml:space="preserve"> specific testing requirements for infants that are not always available in middle- and lower-income countries</w:t>
      </w:r>
      <w:r w:rsidR="00711A8C">
        <w:rPr>
          <w:rFonts w:ascii="Verdana" w:eastAsia="Verdana" w:hAnsi="Verdana" w:cs="Verdana"/>
          <w:sz w:val="20"/>
          <w:szCs w:val="20"/>
          <w:lang w:val="en-GB"/>
        </w:rPr>
        <w:t>;</w:t>
      </w:r>
      <w:r w:rsidRPr="522CFD1C">
        <w:rPr>
          <w:rFonts w:ascii="Verdana" w:eastAsia="Verdana" w:hAnsi="Verdana" w:cs="Verdana"/>
          <w:sz w:val="20"/>
          <w:szCs w:val="20"/>
          <w:lang w:val="en-GB"/>
        </w:rPr>
        <w:t xml:space="preserve"> and a lack of age-appropriate antiretroviral medication for younger age groups are among the reasons that </w:t>
      </w:r>
      <w:r w:rsidRPr="522CFD1C">
        <w:rPr>
          <w:rFonts w:ascii="Verdana" w:eastAsia="Verdana" w:hAnsi="Verdana" w:cs="Verdana"/>
          <w:sz w:val="20"/>
          <w:szCs w:val="20"/>
          <w:lang w:val="en-GB"/>
        </w:rPr>
        <w:lastRenderedPageBreak/>
        <w:t xml:space="preserve">just 57 per cent of children aged 0–14 years are receiving antiretroviral treatment, compared to </w:t>
      </w:r>
      <w:r w:rsidRPr="522CFD1C">
        <w:rPr>
          <w:rFonts w:ascii="Verdana" w:eastAsia="Verdana" w:hAnsi="Verdana" w:cs="Verdana"/>
          <w:sz w:val="20"/>
          <w:szCs w:val="20"/>
          <w:lang w:val="en-CA"/>
        </w:rPr>
        <w:t xml:space="preserve">77 per cent of </w:t>
      </w:r>
      <w:r w:rsidRPr="522CFD1C">
        <w:rPr>
          <w:rFonts w:ascii="Verdana" w:eastAsia="Verdana" w:hAnsi="Verdana" w:cs="Verdana"/>
          <w:sz w:val="20"/>
          <w:szCs w:val="20"/>
          <w:lang w:val="en-GB"/>
        </w:rPr>
        <w:t xml:space="preserve">people aged 15 and above. </w:t>
      </w:r>
    </w:p>
    <w:p w14:paraId="1031EA35" w14:textId="503720D9" w:rsidR="002576E5" w:rsidRPr="0027181B" w:rsidRDefault="002576E5" w:rsidP="002576E5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br/>
      </w:r>
      <w:r w:rsidRPr="20BF29D7">
        <w:rPr>
          <w:rFonts w:ascii="Verdana" w:eastAsia="Verdana" w:hAnsi="Verdana" w:cs="Verdana"/>
          <w:sz w:val="20"/>
          <w:szCs w:val="20"/>
        </w:rPr>
        <w:t xml:space="preserve">Progress </w:t>
      </w:r>
      <w:r w:rsidRPr="1FC36DFD">
        <w:rPr>
          <w:rFonts w:ascii="Verdana" w:eastAsia="Verdana" w:hAnsi="Verdana" w:cs="Verdana"/>
          <w:sz w:val="20"/>
          <w:szCs w:val="20"/>
        </w:rPr>
        <w:t>toward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579055B1">
        <w:rPr>
          <w:rFonts w:ascii="Verdana" w:eastAsia="Verdana" w:hAnsi="Verdana" w:cs="Verdana"/>
          <w:sz w:val="20"/>
          <w:szCs w:val="20"/>
        </w:rPr>
        <w:t>ending AIDS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20BF29D7">
        <w:rPr>
          <w:rFonts w:ascii="Verdana" w:eastAsia="Verdana" w:hAnsi="Verdana" w:cs="Verdana"/>
          <w:sz w:val="20"/>
          <w:szCs w:val="20"/>
        </w:rPr>
        <w:t xml:space="preserve">remains slow, with </w:t>
      </w:r>
      <w:r w:rsidRPr="14417CB3">
        <w:rPr>
          <w:rFonts w:ascii="Verdana" w:eastAsia="Verdana" w:hAnsi="Verdana" w:cs="Verdana"/>
          <w:sz w:val="20"/>
          <w:szCs w:val="20"/>
          <w:lang w:val="en-GB"/>
        </w:rPr>
        <w:t xml:space="preserve">99,000 children and adolescents </w:t>
      </w:r>
      <w:r>
        <w:rPr>
          <w:rFonts w:ascii="Verdana" w:eastAsia="Verdana" w:hAnsi="Verdana" w:cs="Verdana"/>
          <w:sz w:val="20"/>
          <w:szCs w:val="20"/>
          <w:lang w:val="en-GB"/>
        </w:rPr>
        <w:t xml:space="preserve">aged </w:t>
      </w:r>
      <w:r w:rsidRPr="14417CB3">
        <w:rPr>
          <w:rFonts w:ascii="Verdana" w:eastAsia="Verdana" w:hAnsi="Verdana" w:cs="Verdana"/>
          <w:sz w:val="20"/>
          <w:szCs w:val="20"/>
          <w:lang w:val="en-GB"/>
        </w:rPr>
        <w:t xml:space="preserve">0-19 years </w:t>
      </w:r>
      <w:r w:rsidRPr="3AEE6C56">
        <w:rPr>
          <w:rFonts w:ascii="Verdana" w:eastAsia="Verdana" w:hAnsi="Verdana" w:cs="Verdana"/>
          <w:sz w:val="20"/>
          <w:szCs w:val="20"/>
          <w:lang w:val="en-GB"/>
        </w:rPr>
        <w:t>dying</w:t>
      </w:r>
      <w:r w:rsidRPr="4AFB373C">
        <w:rPr>
          <w:rFonts w:ascii="Verdana" w:eastAsia="Verdana" w:hAnsi="Verdana" w:cs="Verdana"/>
          <w:sz w:val="20"/>
          <w:szCs w:val="20"/>
          <w:lang w:val="en-GB"/>
        </w:rPr>
        <w:t xml:space="preserve"> globally</w:t>
      </w:r>
      <w:r w:rsidRPr="14417CB3">
        <w:rPr>
          <w:rFonts w:ascii="Verdana" w:eastAsia="Verdana" w:hAnsi="Verdana" w:cs="Verdana"/>
          <w:sz w:val="20"/>
          <w:szCs w:val="20"/>
          <w:lang w:val="en-GB"/>
        </w:rPr>
        <w:t xml:space="preserve"> due to AIDS-related causes </w:t>
      </w:r>
      <w:r>
        <w:rPr>
          <w:rFonts w:ascii="Verdana" w:eastAsia="Verdana" w:hAnsi="Verdana" w:cs="Verdana"/>
          <w:sz w:val="20"/>
          <w:szCs w:val="20"/>
          <w:lang w:val="en-GB"/>
        </w:rPr>
        <w:t>in 2022</w:t>
      </w:r>
      <w:r w:rsidRPr="14417CB3">
        <w:rPr>
          <w:rFonts w:ascii="Verdana" w:eastAsia="Verdana" w:hAnsi="Verdana" w:cs="Verdana"/>
          <w:sz w:val="20"/>
          <w:szCs w:val="20"/>
          <w:lang w:val="en-GB"/>
        </w:rPr>
        <w:t xml:space="preserve">, accounting for </w:t>
      </w:r>
      <w:r w:rsidRPr="14417CB3">
        <w:rPr>
          <w:rFonts w:ascii="Verdana" w:eastAsia="Verdana" w:hAnsi="Verdana" w:cs="Verdana"/>
          <w:sz w:val="20"/>
          <w:szCs w:val="20"/>
          <w:lang w:val="en-CA"/>
        </w:rPr>
        <w:t>15 per cent of all AIDS-related deaths, even though this age group comprises just 7 per cent of people living with HIV.</w:t>
      </w:r>
      <w:r>
        <w:br/>
      </w:r>
    </w:p>
    <w:p w14:paraId="65F2A574" w14:textId="77777777" w:rsidR="002576E5" w:rsidRDefault="002576E5" w:rsidP="002576E5">
      <w:pPr>
        <w:spacing w:after="0" w:line="240" w:lineRule="auto"/>
      </w:pPr>
      <w:r w:rsidRPr="14417CB3">
        <w:rPr>
          <w:rFonts w:ascii="Verdana" w:eastAsia="Verdana" w:hAnsi="Verdana" w:cs="Verdana"/>
          <w:color w:val="000000" w:themeColor="text1"/>
          <w:sz w:val="20"/>
          <w:szCs w:val="20"/>
        </w:rPr>
        <w:t>###</w:t>
      </w:r>
    </w:p>
    <w:p w14:paraId="28C247CE" w14:textId="77777777" w:rsidR="002576E5" w:rsidRDefault="002576E5" w:rsidP="002576E5">
      <w:pPr>
        <w:spacing w:after="0" w:line="240" w:lineRule="auto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40497C8F" w14:textId="77777777" w:rsidR="002576E5" w:rsidRDefault="002576E5" w:rsidP="002576E5">
      <w:pPr>
        <w:spacing w:after="0" w:line="240" w:lineRule="auto"/>
      </w:pPr>
      <w:r w:rsidRPr="14417CB3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Notes to Editors</w:t>
      </w:r>
    </w:p>
    <w:p w14:paraId="5E3C41CE" w14:textId="77777777" w:rsidR="002576E5" w:rsidRDefault="002576E5" w:rsidP="002576E5">
      <w:pPr>
        <w:spacing w:after="0" w:line="240" w:lineRule="auto"/>
      </w:pPr>
    </w:p>
    <w:p w14:paraId="48B55D18" w14:textId="77777777" w:rsidR="002576E5" w:rsidRDefault="002576E5" w:rsidP="002576E5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522CFD1C">
        <w:rPr>
          <w:rFonts w:ascii="Verdana" w:eastAsia="Verdana" w:hAnsi="Verdana" w:cs="Verdana"/>
          <w:sz w:val="20"/>
          <w:szCs w:val="20"/>
        </w:rPr>
        <w:t>Table showing child and adolescent HIV population figures in highest burden regions:</w:t>
      </w:r>
      <w:r>
        <w:br/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558"/>
        <w:gridCol w:w="1559"/>
        <w:gridCol w:w="1558"/>
        <w:gridCol w:w="1558"/>
        <w:gridCol w:w="1558"/>
        <w:gridCol w:w="1559"/>
      </w:tblGrid>
      <w:tr w:rsidR="002576E5" w14:paraId="355D4AC5" w14:textId="77777777" w:rsidTr="0065420A">
        <w:trPr>
          <w:trHeight w:val="300"/>
        </w:trPr>
        <w:tc>
          <w:tcPr>
            <w:tcW w:w="1560" w:type="dxa"/>
          </w:tcPr>
          <w:p w14:paraId="70C132B7" w14:textId="77777777" w:rsidR="002576E5" w:rsidRDefault="002576E5" w:rsidP="0065420A">
            <w:pPr>
              <w:spacing w:line="259" w:lineRule="auto"/>
              <w:rPr>
                <w:rFonts w:ascii="Verdana" w:eastAsia="Verdana" w:hAnsi="Verdana" w:cs="Verdana"/>
                <w:b/>
                <w:bCs/>
                <w:sz w:val="16"/>
                <w:szCs w:val="16"/>
                <w:lang w:val="en-GB"/>
              </w:rPr>
            </w:pPr>
            <w:r w:rsidRPr="522CFD1C">
              <w:rPr>
                <w:rFonts w:ascii="Verdana" w:eastAsia="Verdana" w:hAnsi="Verdana" w:cs="Verdana"/>
                <w:b/>
                <w:bCs/>
                <w:sz w:val="16"/>
                <w:szCs w:val="16"/>
                <w:lang w:val="en-GB"/>
              </w:rPr>
              <w:t>Indicator by age</w:t>
            </w:r>
          </w:p>
        </w:tc>
        <w:tc>
          <w:tcPr>
            <w:tcW w:w="1560" w:type="dxa"/>
          </w:tcPr>
          <w:p w14:paraId="3EC37DE2" w14:textId="77777777" w:rsidR="002576E5" w:rsidRDefault="002576E5" w:rsidP="0065420A">
            <w:pPr>
              <w:rPr>
                <w:rFonts w:ascii="Verdana" w:eastAsia="Verdana" w:hAnsi="Verdana" w:cs="Verdana"/>
                <w:b/>
                <w:bCs/>
                <w:color w:val="00B0F0"/>
                <w:sz w:val="16"/>
                <w:szCs w:val="16"/>
                <w:lang w:val="en-GB"/>
              </w:rPr>
            </w:pPr>
            <w:r w:rsidRPr="522CFD1C">
              <w:rPr>
                <w:rFonts w:ascii="Verdana" w:eastAsia="Verdana" w:hAnsi="Verdana" w:cs="Verdana"/>
                <w:b/>
                <w:bCs/>
                <w:color w:val="00B0F0"/>
                <w:sz w:val="16"/>
                <w:szCs w:val="16"/>
                <w:lang w:val="en-GB"/>
              </w:rPr>
              <w:t>Eastern and Southern Africa</w:t>
            </w:r>
          </w:p>
        </w:tc>
        <w:tc>
          <w:tcPr>
            <w:tcW w:w="1560" w:type="dxa"/>
          </w:tcPr>
          <w:p w14:paraId="6CC1140D" w14:textId="77777777" w:rsidR="002576E5" w:rsidRDefault="002576E5" w:rsidP="0065420A">
            <w:pPr>
              <w:rPr>
                <w:rFonts w:ascii="Verdana" w:eastAsia="Verdana" w:hAnsi="Verdana" w:cs="Verdana"/>
                <w:b/>
                <w:bCs/>
                <w:color w:val="00B0F0"/>
                <w:sz w:val="16"/>
                <w:szCs w:val="16"/>
                <w:lang w:val="en-GB"/>
              </w:rPr>
            </w:pPr>
            <w:r w:rsidRPr="522CFD1C">
              <w:rPr>
                <w:rFonts w:ascii="Verdana" w:eastAsia="Verdana" w:hAnsi="Verdana" w:cs="Verdana"/>
                <w:b/>
                <w:bCs/>
                <w:color w:val="00B0F0"/>
                <w:sz w:val="16"/>
                <w:szCs w:val="16"/>
                <w:lang w:val="en-GB"/>
              </w:rPr>
              <w:t>West and Central Africa</w:t>
            </w:r>
          </w:p>
        </w:tc>
        <w:tc>
          <w:tcPr>
            <w:tcW w:w="1560" w:type="dxa"/>
          </w:tcPr>
          <w:p w14:paraId="462B2577" w14:textId="77777777" w:rsidR="002576E5" w:rsidRDefault="002576E5" w:rsidP="0065420A">
            <w:pPr>
              <w:rPr>
                <w:rFonts w:ascii="Verdana" w:eastAsia="Verdana" w:hAnsi="Verdana" w:cs="Verdana"/>
                <w:b/>
                <w:bCs/>
                <w:color w:val="00B0F0"/>
                <w:sz w:val="16"/>
                <w:szCs w:val="16"/>
                <w:lang w:val="en-GB"/>
              </w:rPr>
            </w:pPr>
            <w:r w:rsidRPr="522CFD1C">
              <w:rPr>
                <w:rFonts w:ascii="Verdana" w:eastAsia="Verdana" w:hAnsi="Verdana" w:cs="Verdana"/>
                <w:b/>
                <w:bCs/>
                <w:color w:val="00B0F0"/>
                <w:sz w:val="16"/>
                <w:szCs w:val="16"/>
                <w:lang w:val="en-GB"/>
              </w:rPr>
              <w:t>East Asia and the Pacific</w:t>
            </w:r>
          </w:p>
        </w:tc>
        <w:tc>
          <w:tcPr>
            <w:tcW w:w="1560" w:type="dxa"/>
          </w:tcPr>
          <w:p w14:paraId="0049320E" w14:textId="77777777" w:rsidR="002576E5" w:rsidRDefault="002576E5" w:rsidP="0065420A">
            <w:pPr>
              <w:rPr>
                <w:rFonts w:ascii="Verdana" w:eastAsia="Verdana" w:hAnsi="Verdana" w:cs="Verdana"/>
                <w:b/>
                <w:bCs/>
                <w:color w:val="00B0F0"/>
                <w:sz w:val="16"/>
                <w:szCs w:val="16"/>
                <w:lang w:val="en-GB"/>
              </w:rPr>
            </w:pPr>
            <w:r w:rsidRPr="522CFD1C">
              <w:rPr>
                <w:rFonts w:ascii="Verdana" w:eastAsia="Verdana" w:hAnsi="Verdana" w:cs="Verdana"/>
                <w:b/>
                <w:bCs/>
                <w:color w:val="00B0F0"/>
                <w:sz w:val="16"/>
                <w:szCs w:val="16"/>
                <w:lang w:val="en-GB"/>
              </w:rPr>
              <w:t>South Asia</w:t>
            </w:r>
          </w:p>
        </w:tc>
        <w:tc>
          <w:tcPr>
            <w:tcW w:w="1560" w:type="dxa"/>
          </w:tcPr>
          <w:p w14:paraId="1312052D" w14:textId="77777777" w:rsidR="002576E5" w:rsidRDefault="002576E5" w:rsidP="0065420A">
            <w:pPr>
              <w:rPr>
                <w:rFonts w:ascii="Verdana" w:eastAsia="Verdana" w:hAnsi="Verdana" w:cs="Verdana"/>
                <w:b/>
                <w:bCs/>
                <w:color w:val="00B0F0"/>
                <w:sz w:val="16"/>
                <w:szCs w:val="16"/>
                <w:lang w:val="en-GB"/>
              </w:rPr>
            </w:pPr>
            <w:r w:rsidRPr="522CFD1C">
              <w:rPr>
                <w:rFonts w:ascii="Verdana" w:eastAsia="Verdana" w:hAnsi="Verdana" w:cs="Verdana"/>
                <w:b/>
                <w:bCs/>
                <w:color w:val="00B0F0"/>
                <w:sz w:val="16"/>
                <w:szCs w:val="16"/>
                <w:lang w:val="en-GB"/>
              </w:rPr>
              <w:t>Latin America and Caribbean</w:t>
            </w:r>
          </w:p>
        </w:tc>
      </w:tr>
      <w:tr w:rsidR="002576E5" w14:paraId="3C1FD32C" w14:textId="77777777" w:rsidTr="0065420A">
        <w:trPr>
          <w:trHeight w:val="300"/>
        </w:trPr>
        <w:tc>
          <w:tcPr>
            <w:tcW w:w="9360" w:type="dxa"/>
            <w:gridSpan w:val="6"/>
          </w:tcPr>
          <w:p w14:paraId="570A2AFB" w14:textId="77777777" w:rsidR="002576E5" w:rsidRDefault="002576E5" w:rsidP="0065420A">
            <w:pPr>
              <w:rPr>
                <w:rFonts w:ascii="Verdana" w:eastAsia="Verdana" w:hAnsi="Verdana" w:cs="Verdana"/>
                <w:b/>
                <w:bCs/>
                <w:sz w:val="16"/>
                <w:szCs w:val="16"/>
                <w:lang w:val="en-GB"/>
              </w:rPr>
            </w:pPr>
            <w:r w:rsidRPr="522CFD1C">
              <w:rPr>
                <w:rFonts w:ascii="Verdana" w:eastAsia="Verdana" w:hAnsi="Verdana" w:cs="Verdana"/>
                <w:b/>
                <w:bCs/>
                <w:sz w:val="16"/>
                <w:szCs w:val="16"/>
                <w:lang w:val="en-GB"/>
              </w:rPr>
              <w:t xml:space="preserve">Children 0-14 years </w:t>
            </w:r>
          </w:p>
        </w:tc>
      </w:tr>
      <w:tr w:rsidR="002576E5" w14:paraId="634E4343" w14:textId="77777777" w:rsidTr="0065420A">
        <w:trPr>
          <w:trHeight w:val="300"/>
        </w:trPr>
        <w:tc>
          <w:tcPr>
            <w:tcW w:w="1560" w:type="dxa"/>
          </w:tcPr>
          <w:p w14:paraId="2BF51FB8" w14:textId="77777777" w:rsidR="002576E5" w:rsidRDefault="002576E5" w:rsidP="0065420A">
            <w:pPr>
              <w:rPr>
                <w:rFonts w:ascii="Verdana" w:eastAsia="Verdana" w:hAnsi="Verdana" w:cs="Verdana"/>
                <w:b/>
                <w:bCs/>
                <w:sz w:val="16"/>
                <w:szCs w:val="16"/>
                <w:lang w:val="en-GB"/>
              </w:rPr>
            </w:pPr>
            <w:r w:rsidRPr="522CFD1C">
              <w:rPr>
                <w:rFonts w:ascii="Verdana" w:eastAsia="Verdana" w:hAnsi="Verdana" w:cs="Verdana"/>
                <w:b/>
                <w:bCs/>
                <w:sz w:val="16"/>
                <w:szCs w:val="16"/>
                <w:lang w:val="en-GB"/>
              </w:rPr>
              <w:t>HIV population</w:t>
            </w:r>
          </w:p>
        </w:tc>
        <w:tc>
          <w:tcPr>
            <w:tcW w:w="1560" w:type="dxa"/>
          </w:tcPr>
          <w:p w14:paraId="75CE9C6C" w14:textId="77777777" w:rsidR="002576E5" w:rsidRDefault="002576E5" w:rsidP="0065420A">
            <w:pPr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  <w:r w:rsidRPr="522CFD1C">
              <w:rPr>
                <w:rFonts w:ascii="Verdana" w:eastAsia="Verdana" w:hAnsi="Verdana" w:cs="Verdana"/>
                <w:sz w:val="16"/>
                <w:szCs w:val="16"/>
                <w:lang w:val="en-GB"/>
              </w:rPr>
              <w:t>940,000</w:t>
            </w:r>
          </w:p>
        </w:tc>
        <w:tc>
          <w:tcPr>
            <w:tcW w:w="1560" w:type="dxa"/>
          </w:tcPr>
          <w:p w14:paraId="1253DF7C" w14:textId="77777777" w:rsidR="002576E5" w:rsidRDefault="002576E5" w:rsidP="0065420A">
            <w:pPr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  <w:r w:rsidRPr="522CFD1C">
              <w:rPr>
                <w:rFonts w:ascii="Verdana" w:eastAsia="Verdana" w:hAnsi="Verdana" w:cs="Verdana"/>
                <w:sz w:val="16"/>
                <w:szCs w:val="16"/>
                <w:lang w:val="en-GB"/>
              </w:rPr>
              <w:t>390,000</w:t>
            </w:r>
          </w:p>
        </w:tc>
        <w:tc>
          <w:tcPr>
            <w:tcW w:w="1560" w:type="dxa"/>
          </w:tcPr>
          <w:p w14:paraId="36B16274" w14:textId="77777777" w:rsidR="002576E5" w:rsidRDefault="002576E5" w:rsidP="0065420A">
            <w:pPr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  <w:r w:rsidRPr="522CFD1C">
              <w:rPr>
                <w:rFonts w:ascii="Verdana" w:eastAsia="Verdana" w:hAnsi="Verdana" w:cs="Verdana"/>
                <w:sz w:val="16"/>
                <w:szCs w:val="16"/>
                <w:lang w:val="en-GB"/>
              </w:rPr>
              <w:t>51,000</w:t>
            </w:r>
          </w:p>
        </w:tc>
        <w:tc>
          <w:tcPr>
            <w:tcW w:w="1560" w:type="dxa"/>
          </w:tcPr>
          <w:p w14:paraId="4E1ABDC7" w14:textId="77777777" w:rsidR="002576E5" w:rsidRDefault="002576E5" w:rsidP="0065420A">
            <w:pPr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  <w:r w:rsidRPr="522CFD1C">
              <w:rPr>
                <w:rFonts w:ascii="Verdana" w:eastAsia="Verdana" w:hAnsi="Verdana" w:cs="Verdana"/>
                <w:sz w:val="16"/>
                <w:szCs w:val="16"/>
                <w:lang w:val="en-GB"/>
              </w:rPr>
              <w:t>78,000</w:t>
            </w:r>
          </w:p>
        </w:tc>
        <w:tc>
          <w:tcPr>
            <w:tcW w:w="1560" w:type="dxa"/>
          </w:tcPr>
          <w:p w14:paraId="72EF59A0" w14:textId="77777777" w:rsidR="002576E5" w:rsidRDefault="002576E5" w:rsidP="0065420A">
            <w:pPr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  <w:r w:rsidRPr="522CFD1C">
              <w:rPr>
                <w:rFonts w:ascii="Verdana" w:eastAsia="Verdana" w:hAnsi="Verdana" w:cs="Verdana"/>
                <w:sz w:val="16"/>
                <w:szCs w:val="16"/>
                <w:lang w:val="en-GB"/>
              </w:rPr>
              <w:t>42,000</w:t>
            </w:r>
          </w:p>
        </w:tc>
      </w:tr>
      <w:tr w:rsidR="002576E5" w14:paraId="09255AFD" w14:textId="77777777" w:rsidTr="0065420A">
        <w:trPr>
          <w:trHeight w:val="300"/>
        </w:trPr>
        <w:tc>
          <w:tcPr>
            <w:tcW w:w="1560" w:type="dxa"/>
          </w:tcPr>
          <w:p w14:paraId="4C775029" w14:textId="77777777" w:rsidR="002576E5" w:rsidRDefault="002576E5" w:rsidP="0065420A">
            <w:pPr>
              <w:rPr>
                <w:rFonts w:ascii="Verdana" w:eastAsia="Verdana" w:hAnsi="Verdana" w:cs="Verdana"/>
                <w:b/>
                <w:bCs/>
                <w:sz w:val="16"/>
                <w:szCs w:val="16"/>
                <w:lang w:val="en-GB"/>
              </w:rPr>
            </w:pPr>
            <w:r w:rsidRPr="522CFD1C">
              <w:rPr>
                <w:rFonts w:ascii="Verdana" w:eastAsia="Verdana" w:hAnsi="Verdana" w:cs="Verdana"/>
                <w:b/>
                <w:bCs/>
                <w:sz w:val="16"/>
                <w:szCs w:val="16"/>
                <w:lang w:val="en-GB"/>
              </w:rPr>
              <w:t>New infections 2022</w:t>
            </w:r>
          </w:p>
        </w:tc>
        <w:tc>
          <w:tcPr>
            <w:tcW w:w="1560" w:type="dxa"/>
          </w:tcPr>
          <w:p w14:paraId="184B012D" w14:textId="77777777" w:rsidR="002576E5" w:rsidRDefault="002576E5" w:rsidP="0065420A">
            <w:pPr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  <w:r w:rsidRPr="522CFD1C">
              <w:rPr>
                <w:rFonts w:ascii="Verdana" w:eastAsia="Verdana" w:hAnsi="Verdana" w:cs="Verdana"/>
                <w:sz w:val="16"/>
                <w:szCs w:val="16"/>
                <w:lang w:val="en-GB"/>
              </w:rPr>
              <w:t>60,000</w:t>
            </w:r>
          </w:p>
        </w:tc>
        <w:tc>
          <w:tcPr>
            <w:tcW w:w="1560" w:type="dxa"/>
          </w:tcPr>
          <w:p w14:paraId="1078CB61" w14:textId="77777777" w:rsidR="002576E5" w:rsidRDefault="002576E5" w:rsidP="0065420A">
            <w:pPr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  <w:r w:rsidRPr="522CFD1C">
              <w:rPr>
                <w:rFonts w:ascii="Verdana" w:eastAsia="Verdana" w:hAnsi="Verdana" w:cs="Verdana"/>
                <w:sz w:val="16"/>
                <w:szCs w:val="16"/>
                <w:lang w:val="en-GB"/>
              </w:rPr>
              <w:t>50,000</w:t>
            </w:r>
          </w:p>
        </w:tc>
        <w:tc>
          <w:tcPr>
            <w:tcW w:w="1560" w:type="dxa"/>
          </w:tcPr>
          <w:p w14:paraId="051F0C47" w14:textId="77777777" w:rsidR="002576E5" w:rsidRDefault="002576E5" w:rsidP="0065420A">
            <w:pPr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  <w:r w:rsidRPr="522CFD1C">
              <w:rPr>
                <w:rFonts w:ascii="Verdana" w:eastAsia="Verdana" w:hAnsi="Verdana" w:cs="Verdana"/>
                <w:sz w:val="16"/>
                <w:szCs w:val="16"/>
                <w:lang w:val="en-GB"/>
              </w:rPr>
              <w:t>6,600</w:t>
            </w:r>
          </w:p>
        </w:tc>
        <w:tc>
          <w:tcPr>
            <w:tcW w:w="1560" w:type="dxa"/>
          </w:tcPr>
          <w:p w14:paraId="1326B093" w14:textId="77777777" w:rsidR="002576E5" w:rsidRDefault="002576E5" w:rsidP="0065420A">
            <w:pPr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  <w:r w:rsidRPr="522CFD1C">
              <w:rPr>
                <w:rFonts w:ascii="Verdana" w:eastAsia="Verdana" w:hAnsi="Verdana" w:cs="Verdana"/>
                <w:sz w:val="16"/>
                <w:szCs w:val="16"/>
                <w:lang w:val="en-GB"/>
              </w:rPr>
              <w:t>5,800</w:t>
            </w:r>
          </w:p>
        </w:tc>
        <w:tc>
          <w:tcPr>
            <w:tcW w:w="1560" w:type="dxa"/>
          </w:tcPr>
          <w:p w14:paraId="4E50B465" w14:textId="77777777" w:rsidR="002576E5" w:rsidRDefault="002576E5" w:rsidP="0065420A">
            <w:pPr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  <w:r w:rsidRPr="522CFD1C">
              <w:rPr>
                <w:rFonts w:ascii="Verdana" w:eastAsia="Verdana" w:hAnsi="Verdana" w:cs="Verdana"/>
                <w:sz w:val="16"/>
                <w:szCs w:val="16"/>
                <w:lang w:val="en-GB"/>
              </w:rPr>
              <w:t>5,300</w:t>
            </w:r>
          </w:p>
        </w:tc>
      </w:tr>
      <w:tr w:rsidR="002576E5" w14:paraId="698F23BE" w14:textId="77777777" w:rsidTr="0065420A">
        <w:trPr>
          <w:trHeight w:val="300"/>
        </w:trPr>
        <w:tc>
          <w:tcPr>
            <w:tcW w:w="9360" w:type="dxa"/>
            <w:gridSpan w:val="6"/>
          </w:tcPr>
          <w:p w14:paraId="79205CA5" w14:textId="77777777" w:rsidR="002576E5" w:rsidRDefault="002576E5" w:rsidP="0065420A">
            <w:pPr>
              <w:rPr>
                <w:rFonts w:ascii="Verdana" w:eastAsia="Verdana" w:hAnsi="Verdana" w:cs="Verdana"/>
                <w:b/>
                <w:bCs/>
                <w:sz w:val="16"/>
                <w:szCs w:val="16"/>
                <w:lang w:val="en-GB"/>
              </w:rPr>
            </w:pPr>
            <w:r w:rsidRPr="522CFD1C">
              <w:rPr>
                <w:rFonts w:ascii="Verdana" w:eastAsia="Verdana" w:hAnsi="Verdana" w:cs="Verdana"/>
                <w:b/>
                <w:bCs/>
                <w:sz w:val="16"/>
                <w:szCs w:val="16"/>
                <w:lang w:val="en-GB"/>
              </w:rPr>
              <w:t>Adolescents 15-19 years</w:t>
            </w:r>
          </w:p>
        </w:tc>
      </w:tr>
      <w:tr w:rsidR="002576E5" w14:paraId="4812DC0F" w14:textId="77777777" w:rsidTr="0065420A">
        <w:trPr>
          <w:trHeight w:val="300"/>
        </w:trPr>
        <w:tc>
          <w:tcPr>
            <w:tcW w:w="1560" w:type="dxa"/>
          </w:tcPr>
          <w:p w14:paraId="335B2F54" w14:textId="77777777" w:rsidR="002576E5" w:rsidRDefault="002576E5" w:rsidP="0065420A">
            <w:pPr>
              <w:rPr>
                <w:rFonts w:ascii="Verdana" w:eastAsia="Verdana" w:hAnsi="Verdana" w:cs="Verdana"/>
                <w:b/>
                <w:bCs/>
                <w:sz w:val="16"/>
                <w:szCs w:val="16"/>
                <w:lang w:val="en-GB"/>
              </w:rPr>
            </w:pPr>
            <w:r w:rsidRPr="522CFD1C">
              <w:rPr>
                <w:rFonts w:ascii="Verdana" w:eastAsia="Verdana" w:hAnsi="Verdana" w:cs="Verdana"/>
                <w:b/>
                <w:bCs/>
                <w:sz w:val="16"/>
                <w:szCs w:val="16"/>
                <w:lang w:val="en-GB"/>
              </w:rPr>
              <w:t>HIV population</w:t>
            </w:r>
          </w:p>
        </w:tc>
        <w:tc>
          <w:tcPr>
            <w:tcW w:w="1560" w:type="dxa"/>
          </w:tcPr>
          <w:p w14:paraId="4C33744B" w14:textId="77777777" w:rsidR="002576E5" w:rsidRDefault="002576E5" w:rsidP="0065420A">
            <w:pPr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  <w:r w:rsidRPr="522CFD1C">
              <w:rPr>
                <w:rFonts w:ascii="Verdana" w:eastAsia="Verdana" w:hAnsi="Verdana" w:cs="Verdana"/>
                <w:sz w:val="16"/>
                <w:szCs w:val="16"/>
                <w:lang w:val="en-GB"/>
              </w:rPr>
              <w:t>690,000</w:t>
            </w:r>
          </w:p>
        </w:tc>
        <w:tc>
          <w:tcPr>
            <w:tcW w:w="1560" w:type="dxa"/>
          </w:tcPr>
          <w:p w14:paraId="6D0145B9" w14:textId="77777777" w:rsidR="002576E5" w:rsidRDefault="002576E5" w:rsidP="0065420A">
            <w:pPr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  <w:r w:rsidRPr="522CFD1C">
              <w:rPr>
                <w:rFonts w:ascii="Verdana" w:eastAsia="Verdana" w:hAnsi="Verdana" w:cs="Verdana"/>
                <w:sz w:val="16"/>
                <w:szCs w:val="16"/>
                <w:lang w:val="en-GB"/>
              </w:rPr>
              <w:t>180,000</w:t>
            </w:r>
          </w:p>
        </w:tc>
        <w:tc>
          <w:tcPr>
            <w:tcW w:w="1560" w:type="dxa"/>
          </w:tcPr>
          <w:p w14:paraId="64DCBA4C" w14:textId="77777777" w:rsidR="002576E5" w:rsidRDefault="002576E5" w:rsidP="0065420A">
            <w:pPr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  <w:r w:rsidRPr="522CFD1C">
              <w:rPr>
                <w:rFonts w:ascii="Verdana" w:eastAsia="Verdana" w:hAnsi="Verdana" w:cs="Verdana"/>
                <w:sz w:val="16"/>
                <w:szCs w:val="16"/>
                <w:lang w:val="en-GB"/>
              </w:rPr>
              <w:t>48,0000</w:t>
            </w:r>
          </w:p>
        </w:tc>
        <w:tc>
          <w:tcPr>
            <w:tcW w:w="1560" w:type="dxa"/>
          </w:tcPr>
          <w:p w14:paraId="02E3EBA0" w14:textId="77777777" w:rsidR="002576E5" w:rsidRDefault="002576E5" w:rsidP="0065420A">
            <w:pPr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  <w:r w:rsidRPr="522CFD1C">
              <w:rPr>
                <w:rFonts w:ascii="Verdana" w:eastAsia="Verdana" w:hAnsi="Verdana" w:cs="Verdana"/>
                <w:sz w:val="16"/>
                <w:szCs w:val="16"/>
                <w:lang w:val="en-GB"/>
              </w:rPr>
              <w:t>58,000</w:t>
            </w:r>
          </w:p>
        </w:tc>
        <w:tc>
          <w:tcPr>
            <w:tcW w:w="1560" w:type="dxa"/>
          </w:tcPr>
          <w:p w14:paraId="7CD30FD2" w14:textId="77777777" w:rsidR="002576E5" w:rsidRDefault="002576E5" w:rsidP="0065420A">
            <w:pPr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  <w:r w:rsidRPr="522CFD1C">
              <w:rPr>
                <w:rFonts w:ascii="Verdana" w:eastAsia="Verdana" w:hAnsi="Verdana" w:cs="Verdana"/>
                <w:sz w:val="16"/>
                <w:szCs w:val="16"/>
                <w:lang w:val="en-GB"/>
              </w:rPr>
              <w:t>43,000</w:t>
            </w:r>
          </w:p>
        </w:tc>
      </w:tr>
      <w:tr w:rsidR="002576E5" w14:paraId="3A6EAA00" w14:textId="77777777" w:rsidTr="0065420A">
        <w:trPr>
          <w:trHeight w:val="300"/>
        </w:trPr>
        <w:tc>
          <w:tcPr>
            <w:tcW w:w="1560" w:type="dxa"/>
          </w:tcPr>
          <w:p w14:paraId="16910418" w14:textId="77777777" w:rsidR="002576E5" w:rsidRDefault="002576E5" w:rsidP="0065420A">
            <w:pPr>
              <w:rPr>
                <w:rFonts w:ascii="Verdana" w:eastAsia="Verdana" w:hAnsi="Verdana" w:cs="Verdana"/>
                <w:b/>
                <w:bCs/>
                <w:sz w:val="16"/>
                <w:szCs w:val="16"/>
                <w:lang w:val="en-GB"/>
              </w:rPr>
            </w:pPr>
            <w:r w:rsidRPr="522CFD1C">
              <w:rPr>
                <w:rFonts w:ascii="Verdana" w:eastAsia="Verdana" w:hAnsi="Verdana" w:cs="Verdana"/>
                <w:b/>
                <w:bCs/>
                <w:sz w:val="16"/>
                <w:szCs w:val="16"/>
                <w:lang w:val="en-GB"/>
              </w:rPr>
              <w:t>New infections 2022</w:t>
            </w:r>
          </w:p>
        </w:tc>
        <w:tc>
          <w:tcPr>
            <w:tcW w:w="1560" w:type="dxa"/>
          </w:tcPr>
          <w:p w14:paraId="5456BB9F" w14:textId="77777777" w:rsidR="002576E5" w:rsidRDefault="002576E5" w:rsidP="0065420A">
            <w:pPr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  <w:r w:rsidRPr="522CFD1C">
              <w:rPr>
                <w:rFonts w:ascii="Verdana" w:eastAsia="Verdana" w:hAnsi="Verdana" w:cs="Verdana"/>
                <w:sz w:val="16"/>
                <w:szCs w:val="16"/>
                <w:lang w:val="en-GB"/>
              </w:rPr>
              <w:t>77,000</w:t>
            </w:r>
          </w:p>
        </w:tc>
        <w:tc>
          <w:tcPr>
            <w:tcW w:w="1560" w:type="dxa"/>
          </w:tcPr>
          <w:p w14:paraId="1E68B7BA" w14:textId="77777777" w:rsidR="002576E5" w:rsidRDefault="002576E5" w:rsidP="0065420A">
            <w:pPr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  <w:r w:rsidRPr="522CFD1C">
              <w:rPr>
                <w:rFonts w:ascii="Verdana" w:eastAsia="Verdana" w:hAnsi="Verdana" w:cs="Verdana"/>
                <w:sz w:val="16"/>
                <w:szCs w:val="16"/>
                <w:lang w:val="en-GB"/>
              </w:rPr>
              <w:t>16,000</w:t>
            </w:r>
          </w:p>
        </w:tc>
        <w:tc>
          <w:tcPr>
            <w:tcW w:w="1560" w:type="dxa"/>
          </w:tcPr>
          <w:p w14:paraId="325D22CD" w14:textId="77777777" w:rsidR="002576E5" w:rsidRDefault="002576E5" w:rsidP="0065420A">
            <w:pPr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  <w:r w:rsidRPr="522CFD1C">
              <w:rPr>
                <w:rFonts w:ascii="Verdana" w:eastAsia="Verdana" w:hAnsi="Verdana" w:cs="Verdana"/>
                <w:sz w:val="16"/>
                <w:szCs w:val="16"/>
                <w:lang w:val="en-GB"/>
              </w:rPr>
              <w:t>15,000</w:t>
            </w:r>
          </w:p>
        </w:tc>
        <w:tc>
          <w:tcPr>
            <w:tcW w:w="1560" w:type="dxa"/>
          </w:tcPr>
          <w:p w14:paraId="3A0CF035" w14:textId="77777777" w:rsidR="002576E5" w:rsidRDefault="002576E5" w:rsidP="0065420A">
            <w:pPr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  <w:r w:rsidRPr="522CFD1C">
              <w:rPr>
                <w:rFonts w:ascii="Verdana" w:eastAsia="Verdana" w:hAnsi="Verdana" w:cs="Verdana"/>
                <w:sz w:val="16"/>
                <w:szCs w:val="16"/>
                <w:lang w:val="en-GB"/>
              </w:rPr>
              <w:t>8,600</w:t>
            </w:r>
          </w:p>
        </w:tc>
        <w:tc>
          <w:tcPr>
            <w:tcW w:w="1560" w:type="dxa"/>
          </w:tcPr>
          <w:p w14:paraId="1D680403" w14:textId="77777777" w:rsidR="002576E5" w:rsidRDefault="002576E5" w:rsidP="0065420A">
            <w:pPr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  <w:r w:rsidRPr="522CFD1C">
              <w:rPr>
                <w:rFonts w:ascii="Verdana" w:eastAsia="Verdana" w:hAnsi="Verdana" w:cs="Verdana"/>
                <w:sz w:val="16"/>
                <w:szCs w:val="16"/>
                <w:lang w:val="en-GB"/>
              </w:rPr>
              <w:t>11,000</w:t>
            </w:r>
          </w:p>
        </w:tc>
      </w:tr>
    </w:tbl>
    <w:p w14:paraId="427CA3B5" w14:textId="06887C62" w:rsidR="002576E5" w:rsidRDefault="002576E5" w:rsidP="002576E5">
      <w:pPr>
        <w:spacing w:after="0" w:line="240" w:lineRule="auto"/>
      </w:pPr>
      <w:r>
        <w:br/>
      </w:r>
      <w:r w:rsidRPr="522CFD1C">
        <w:rPr>
          <w:rFonts w:ascii="Verdana" w:eastAsia="Verdana" w:hAnsi="Verdana" w:cs="Verdana"/>
          <w:sz w:val="20"/>
          <w:szCs w:val="20"/>
          <w:lang w:val="en-AU"/>
        </w:rPr>
        <w:t xml:space="preserve">Access the 2023 Data Snapshot </w:t>
      </w:r>
      <w:hyperlink r:id="rId7">
        <w:r w:rsidRPr="522CFD1C">
          <w:rPr>
            <w:rStyle w:val="Hyperlink"/>
            <w:rFonts w:ascii="Verdana" w:eastAsia="Verdana" w:hAnsi="Verdana" w:cs="Verdana"/>
            <w:sz w:val="20"/>
            <w:szCs w:val="20"/>
            <w:lang w:val="en-AU"/>
          </w:rPr>
          <w:t>here</w:t>
        </w:r>
      </w:hyperlink>
      <w:r w:rsidRPr="522CFD1C">
        <w:rPr>
          <w:rFonts w:ascii="Verdana" w:eastAsia="Verdana" w:hAnsi="Verdana" w:cs="Verdana"/>
          <w:sz w:val="20"/>
          <w:szCs w:val="20"/>
          <w:lang w:val="en-AU"/>
        </w:rPr>
        <w:t xml:space="preserve">. </w:t>
      </w:r>
      <w:r>
        <w:br/>
      </w:r>
      <w:r w:rsidRPr="522CFD1C">
        <w:rPr>
          <w:rFonts w:ascii="Verdana" w:eastAsia="Verdana" w:hAnsi="Verdana" w:cs="Verdana"/>
          <w:sz w:val="20"/>
          <w:szCs w:val="20"/>
          <w:lang w:val="en-AU"/>
        </w:rPr>
        <w:t xml:space="preserve">Download multimedia content </w:t>
      </w:r>
      <w:hyperlink r:id="rId8" w:history="1">
        <w:r w:rsidRPr="009F747A">
          <w:rPr>
            <w:rStyle w:val="Hyperlink"/>
            <w:rFonts w:ascii="Verdana" w:eastAsia="Verdana" w:hAnsi="Verdana" w:cs="Verdana"/>
            <w:sz w:val="20"/>
            <w:szCs w:val="20"/>
            <w:lang w:val="en-AU"/>
          </w:rPr>
          <w:t>here</w:t>
        </w:r>
      </w:hyperlink>
      <w:r w:rsidRPr="522CFD1C">
        <w:rPr>
          <w:rFonts w:ascii="Verdana" w:eastAsia="Verdana" w:hAnsi="Verdana" w:cs="Verdana"/>
          <w:sz w:val="20"/>
          <w:szCs w:val="20"/>
          <w:lang w:val="en-AU"/>
        </w:rPr>
        <w:t>.</w:t>
      </w:r>
      <w:r>
        <w:br/>
      </w:r>
      <w:r>
        <w:br/>
      </w:r>
      <w:r w:rsidRPr="522CFD1C">
        <w:rPr>
          <w:rFonts w:ascii="Verdana" w:eastAsia="Verdana" w:hAnsi="Verdana" w:cs="Verdana"/>
          <w:b/>
          <w:bCs/>
          <w:sz w:val="20"/>
          <w:szCs w:val="20"/>
        </w:rPr>
        <w:t>About UNICEF</w:t>
      </w:r>
      <w:r>
        <w:br/>
      </w:r>
      <w:proofErr w:type="spellStart"/>
      <w:r w:rsidRPr="522CFD1C">
        <w:rPr>
          <w:rFonts w:ascii="Verdana" w:eastAsia="Verdana" w:hAnsi="Verdana" w:cs="Verdana"/>
          <w:color w:val="000000" w:themeColor="text1"/>
          <w:sz w:val="20"/>
          <w:szCs w:val="20"/>
        </w:rPr>
        <w:t>UNICEF</w:t>
      </w:r>
      <w:proofErr w:type="spellEnd"/>
      <w:r w:rsidRPr="522CFD1C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works in some of the world’s toughest places, to reach the world’s most disadvantaged children. Across more than 190 countries and territories, we work for every child, everywhere, to build a better world for everyone. </w:t>
      </w:r>
    </w:p>
    <w:p w14:paraId="42A12B33" w14:textId="77777777" w:rsidR="002576E5" w:rsidRDefault="002576E5" w:rsidP="002576E5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3C031234" w14:textId="77777777" w:rsidR="002576E5" w:rsidRDefault="002576E5" w:rsidP="002576E5">
      <w:pPr>
        <w:spacing w:after="0" w:line="240" w:lineRule="auto"/>
      </w:pPr>
      <w:r w:rsidRPr="14417CB3">
        <w:rPr>
          <w:rFonts w:ascii="Verdana" w:eastAsia="Verdana" w:hAnsi="Verdana" w:cs="Verdana"/>
          <w:sz w:val="20"/>
          <w:szCs w:val="20"/>
        </w:rPr>
        <w:t xml:space="preserve">For more information about UNICEF and its work for children visit </w:t>
      </w:r>
      <w:hyperlink r:id="rId9">
        <w:r w:rsidRPr="14417CB3">
          <w:rPr>
            <w:rStyle w:val="Hyperlink"/>
            <w:rFonts w:ascii="Verdana" w:eastAsia="Verdana" w:hAnsi="Verdana" w:cs="Verdana"/>
            <w:color w:val="0000FF"/>
            <w:sz w:val="20"/>
            <w:szCs w:val="20"/>
          </w:rPr>
          <w:t>www.unicef.org</w:t>
        </w:r>
      </w:hyperlink>
      <w:r w:rsidRPr="14417CB3">
        <w:rPr>
          <w:rFonts w:ascii="Verdana" w:eastAsia="Verdana" w:hAnsi="Verdana" w:cs="Verdana"/>
          <w:sz w:val="20"/>
          <w:szCs w:val="20"/>
        </w:rPr>
        <w:t xml:space="preserve"> </w:t>
      </w:r>
    </w:p>
    <w:p w14:paraId="5CDE2417" w14:textId="77777777" w:rsidR="002576E5" w:rsidRDefault="002576E5" w:rsidP="002576E5">
      <w:pPr>
        <w:spacing w:after="0" w:line="240" w:lineRule="auto"/>
        <w:rPr>
          <w:rFonts w:ascii="Verdana" w:eastAsia="Verdana" w:hAnsi="Verdana" w:cs="Verdana"/>
          <w:color w:val="000000" w:themeColor="text1"/>
          <w:sz w:val="20"/>
          <w:szCs w:val="20"/>
          <w:u w:val="single"/>
        </w:rPr>
      </w:pPr>
      <w:r w:rsidRPr="14417CB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Follow UNICEF on </w:t>
      </w:r>
      <w:hyperlink r:id="rId10">
        <w:r w:rsidRPr="14417CB3">
          <w:rPr>
            <w:rStyle w:val="Hyperlink"/>
            <w:rFonts w:ascii="Verdana" w:eastAsia="Verdana" w:hAnsi="Verdana" w:cs="Verdana"/>
            <w:color w:val="000000" w:themeColor="text1"/>
            <w:sz w:val="20"/>
            <w:szCs w:val="20"/>
          </w:rPr>
          <w:t>Twitter</w:t>
        </w:r>
      </w:hyperlink>
      <w:r w:rsidRPr="14417CB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, </w:t>
      </w:r>
      <w:hyperlink r:id="rId11">
        <w:r w:rsidRPr="14417CB3">
          <w:rPr>
            <w:rStyle w:val="Hyperlink"/>
            <w:rFonts w:ascii="Verdana" w:eastAsia="Verdana" w:hAnsi="Verdana" w:cs="Verdana"/>
            <w:color w:val="000000" w:themeColor="text1"/>
            <w:sz w:val="20"/>
            <w:szCs w:val="20"/>
          </w:rPr>
          <w:t>Facebook</w:t>
        </w:r>
      </w:hyperlink>
      <w:r w:rsidRPr="14417CB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, </w:t>
      </w:r>
      <w:hyperlink r:id="rId12">
        <w:r w:rsidRPr="14417CB3">
          <w:rPr>
            <w:rStyle w:val="Hyperlink"/>
            <w:rFonts w:ascii="Verdana" w:eastAsia="Verdana" w:hAnsi="Verdana" w:cs="Verdana"/>
            <w:color w:val="000000" w:themeColor="text1"/>
            <w:sz w:val="20"/>
            <w:szCs w:val="20"/>
          </w:rPr>
          <w:t>Instagram</w:t>
        </w:r>
      </w:hyperlink>
      <w:r w:rsidRPr="14417CB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and </w:t>
      </w:r>
      <w:hyperlink r:id="rId13">
        <w:r w:rsidRPr="14417CB3">
          <w:rPr>
            <w:rStyle w:val="Hyperlink"/>
            <w:rFonts w:ascii="Verdana" w:eastAsia="Verdana" w:hAnsi="Verdana" w:cs="Verdana"/>
            <w:color w:val="000000" w:themeColor="text1"/>
            <w:sz w:val="20"/>
            <w:szCs w:val="20"/>
          </w:rPr>
          <w:t>YouTube</w:t>
        </w:r>
      </w:hyperlink>
      <w:r w:rsidRPr="14417CB3">
        <w:rPr>
          <w:rFonts w:ascii="Verdana" w:eastAsia="Verdana" w:hAnsi="Verdana" w:cs="Verdana"/>
          <w:color w:val="000000" w:themeColor="text1"/>
          <w:sz w:val="20"/>
          <w:szCs w:val="20"/>
          <w:u w:val="single"/>
        </w:rPr>
        <w:t xml:space="preserve">. </w:t>
      </w:r>
    </w:p>
    <w:p w14:paraId="511B5FF8" w14:textId="77777777" w:rsidR="002576E5" w:rsidRDefault="002576E5" w:rsidP="002576E5">
      <w:pPr>
        <w:spacing w:after="0" w:line="24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br/>
      </w:r>
      <w:r w:rsidRPr="14417CB3">
        <w:rPr>
          <w:rFonts w:ascii="Verdana" w:eastAsia="Verdana" w:hAnsi="Verdana" w:cs="Verdana"/>
          <w:b/>
          <w:bCs/>
          <w:sz w:val="20"/>
          <w:szCs w:val="20"/>
        </w:rPr>
        <w:t>For further information, please contact:</w:t>
      </w:r>
      <w:r>
        <w:br/>
      </w:r>
      <w:r w:rsidRPr="14417CB3">
        <w:rPr>
          <w:rFonts w:ascii="Verdana" w:eastAsia="Verdana" w:hAnsi="Verdana" w:cs="Verdana"/>
          <w:sz w:val="20"/>
          <w:szCs w:val="20"/>
        </w:rPr>
        <w:t xml:space="preserve">Nadia Samie-Jacobs, UNICEF New York, </w:t>
      </w:r>
      <w:hyperlink r:id="rId14">
        <w:r w:rsidRPr="14417CB3">
          <w:rPr>
            <w:rStyle w:val="Hyperlink"/>
            <w:rFonts w:ascii="Verdana" w:eastAsia="Verdana" w:hAnsi="Verdana" w:cs="Verdana"/>
            <w:sz w:val="20"/>
            <w:szCs w:val="20"/>
          </w:rPr>
          <w:t>nsamie@unicef.org</w:t>
        </w:r>
      </w:hyperlink>
      <w:r w:rsidRPr="14417CB3">
        <w:rPr>
          <w:rFonts w:ascii="Verdana" w:eastAsia="Verdana" w:hAnsi="Verdana" w:cs="Verdana"/>
          <w:sz w:val="20"/>
          <w:szCs w:val="20"/>
        </w:rPr>
        <w:t>, Tel: +1 (845)760 2615</w:t>
      </w:r>
    </w:p>
    <w:p w14:paraId="223D903A" w14:textId="77777777" w:rsidR="002576E5" w:rsidRDefault="002576E5" w:rsidP="002576E5">
      <w:pPr>
        <w:spacing w:after="0" w:line="240" w:lineRule="auto"/>
      </w:pPr>
    </w:p>
    <w:p w14:paraId="03DE21CA" w14:textId="77777777" w:rsidR="004949C2" w:rsidRDefault="004949C2"/>
    <w:sectPr w:rsidR="004949C2">
      <w:head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03ED3" w14:textId="77777777" w:rsidR="00B14C6E" w:rsidRDefault="00B14C6E">
      <w:pPr>
        <w:spacing w:after="0" w:line="240" w:lineRule="auto"/>
      </w:pPr>
      <w:r>
        <w:separator/>
      </w:r>
    </w:p>
  </w:endnote>
  <w:endnote w:type="continuationSeparator" w:id="0">
    <w:p w14:paraId="195D6C84" w14:textId="77777777" w:rsidR="00B14C6E" w:rsidRDefault="00B1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E15B" w14:textId="77777777" w:rsidR="00B14C6E" w:rsidRDefault="00B14C6E">
      <w:pPr>
        <w:spacing w:after="0" w:line="240" w:lineRule="auto"/>
      </w:pPr>
      <w:r>
        <w:separator/>
      </w:r>
    </w:p>
  </w:footnote>
  <w:footnote w:type="continuationSeparator" w:id="0">
    <w:p w14:paraId="06BB08A2" w14:textId="77777777" w:rsidR="00B14C6E" w:rsidRDefault="00B1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C076" w14:textId="77777777" w:rsidR="005E39C1" w:rsidRDefault="00000000">
    <w:pPr>
      <w:pStyle w:val="Header"/>
    </w:pPr>
    <w:r>
      <w:rPr>
        <w:rFonts w:ascii="Verdana" w:hAnsi="Verdana"/>
        <w:b/>
        <w:bCs/>
        <w:noProof/>
        <w:color w:val="FF0000"/>
        <w:sz w:val="28"/>
        <w:szCs w:val="28"/>
        <w:shd w:val="clear" w:color="auto" w:fill="E6E6E6"/>
      </w:rPr>
      <w:drawing>
        <wp:anchor distT="0" distB="0" distL="114300" distR="114300" simplePos="0" relativeHeight="251659264" behindDoc="0" locked="0" layoutInCell="1" allowOverlap="1" wp14:anchorId="16BF6F6A" wp14:editId="4921F293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62240" cy="8255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362" cy="830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E5"/>
    <w:rsid w:val="00015E4B"/>
    <w:rsid w:val="002576E5"/>
    <w:rsid w:val="003817D0"/>
    <w:rsid w:val="003913FF"/>
    <w:rsid w:val="003B2D8F"/>
    <w:rsid w:val="004949C2"/>
    <w:rsid w:val="006F41A0"/>
    <w:rsid w:val="00711A8C"/>
    <w:rsid w:val="007A5125"/>
    <w:rsid w:val="00852AD1"/>
    <w:rsid w:val="00895A88"/>
    <w:rsid w:val="00952696"/>
    <w:rsid w:val="009F747A"/>
    <w:rsid w:val="00B14C6E"/>
    <w:rsid w:val="00CD5003"/>
    <w:rsid w:val="00D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060D6"/>
  <w15:chartTrackingRefBased/>
  <w15:docId w15:val="{242A1CD6-4C21-4073-AEEB-8AE1495A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6E5"/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76E5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576E5"/>
    <w:rPr>
      <w:rFonts w:ascii="Calibri" w:eastAsia="Calibri" w:hAnsi="Calibri" w:cs="Calibr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576E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7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6E5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2576E5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711A8C"/>
    <w:pPr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52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6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69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696"/>
    <w:rPr>
      <w:rFonts w:ascii="Calibri" w:eastAsia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F747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1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share.unicef.org/Package/2AM4089PKFL7" TargetMode="External"/><Relationship Id="rId13" Type="http://schemas.openxmlformats.org/officeDocument/2006/relationships/hyperlink" Target="https://www.youtube.com/unic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ildrenandaids.org/world-aids-day-2023" TargetMode="External"/><Relationship Id="rId12" Type="http://schemas.openxmlformats.org/officeDocument/2006/relationships/hyperlink" Target="https://www.instagram.com/unicef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hildrenandaids.org/world-aids-day-2023" TargetMode="External"/><Relationship Id="rId11" Type="http://schemas.openxmlformats.org/officeDocument/2006/relationships/hyperlink" Target="https://www.facebook.com/unicef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twitter.com/unicefmedi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nicef.org/" TargetMode="External"/><Relationship Id="rId14" Type="http://schemas.openxmlformats.org/officeDocument/2006/relationships/hyperlink" Target="mailto:nsamie@unice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Samie-Jacobs</dc:creator>
  <cp:keywords/>
  <dc:description/>
  <cp:lastModifiedBy>Rikke Le Kirkegaard</cp:lastModifiedBy>
  <cp:revision>2</cp:revision>
  <dcterms:created xsi:type="dcterms:W3CDTF">2023-11-29T15:04:00Z</dcterms:created>
  <dcterms:modified xsi:type="dcterms:W3CDTF">2023-11-29T15:04:00Z</dcterms:modified>
</cp:coreProperties>
</file>