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93810" w14:textId="3F733150" w:rsidR="002576E5" w:rsidRPr="007C14AA" w:rsidRDefault="00497616" w:rsidP="002576E5">
      <w:pPr>
        <w:pStyle w:val="Heading3"/>
        <w:rPr>
          <w:sz w:val="36"/>
          <w:szCs w:val="36"/>
          <w:lang w:val="fr-FR"/>
        </w:rPr>
      </w:pPr>
      <w:r w:rsidRPr="007C14AA">
        <w:rPr>
          <w:i/>
          <w:iCs/>
          <w:color w:val="00B0F0"/>
          <w:sz w:val="36"/>
          <w:szCs w:val="36"/>
          <w:lang w:val="fr-FR"/>
        </w:rPr>
        <w:t>COMMUNIQU</w:t>
      </w:r>
      <w:r w:rsidRPr="007C14AA">
        <w:rPr>
          <w:i/>
          <w:iCs/>
          <w:color w:val="00B0F0"/>
          <w:sz w:val="36"/>
          <w:szCs w:val="36"/>
          <w:lang w:val="fr-FR"/>
        </w:rPr>
        <w:t>É</w:t>
      </w:r>
      <w:r w:rsidRPr="007C14AA">
        <w:rPr>
          <w:i/>
          <w:iCs/>
          <w:color w:val="00B0F0"/>
          <w:sz w:val="36"/>
          <w:szCs w:val="36"/>
          <w:lang w:val="fr-FR"/>
        </w:rPr>
        <w:t xml:space="preserve"> DE </w:t>
      </w:r>
      <w:r w:rsidR="002576E5" w:rsidRPr="007C14AA">
        <w:rPr>
          <w:i/>
          <w:iCs/>
          <w:color w:val="00B0F0"/>
          <w:sz w:val="36"/>
          <w:szCs w:val="36"/>
          <w:lang w:val="fr-FR"/>
        </w:rPr>
        <w:t>PRESS</w:t>
      </w:r>
      <w:r w:rsidRPr="007C14AA">
        <w:rPr>
          <w:i/>
          <w:iCs/>
          <w:color w:val="00B0F0"/>
          <w:sz w:val="36"/>
          <w:szCs w:val="36"/>
          <w:lang w:val="fr-FR"/>
        </w:rPr>
        <w:t>E</w:t>
      </w:r>
      <w:r w:rsidR="002576E5" w:rsidRPr="007C14AA">
        <w:rPr>
          <w:i/>
          <w:iCs/>
          <w:color w:val="00B0F0"/>
          <w:sz w:val="36"/>
          <w:szCs w:val="36"/>
          <w:lang w:val="fr-FR"/>
        </w:rPr>
        <w:t xml:space="preserve"> </w:t>
      </w:r>
    </w:p>
    <w:p w14:paraId="1388AF1B" w14:textId="2B0B8101" w:rsidR="002576E5" w:rsidRPr="007C14AA" w:rsidRDefault="003118E8" w:rsidP="002576E5">
      <w:pPr>
        <w:jc w:val="both"/>
        <w:rPr>
          <w:rFonts w:ascii="Verdana" w:eastAsia="Verdana" w:hAnsi="Verdana" w:cs="Verdana"/>
          <w:b/>
          <w:bCs/>
          <w:color w:val="FF0000"/>
          <w:sz w:val="20"/>
          <w:szCs w:val="20"/>
          <w:lang w:val="fr-FR"/>
        </w:rPr>
      </w:pPr>
      <w:r w:rsidRPr="007C14AA">
        <w:rPr>
          <w:rFonts w:ascii="Verdana" w:eastAsia="Verdana" w:hAnsi="Verdana" w:cs="Verdana"/>
          <w:b/>
          <w:bCs/>
          <w:color w:val="FF0000"/>
          <w:sz w:val="20"/>
          <w:szCs w:val="20"/>
          <w:lang w:val="fr-FR"/>
        </w:rPr>
        <w:t>SOUS EMBARGO jusqu’au 1</w:t>
      </w:r>
      <w:r w:rsidRPr="007C14AA">
        <w:rPr>
          <w:rFonts w:ascii="Verdana" w:eastAsia="Verdana" w:hAnsi="Verdana" w:cs="Verdana"/>
          <w:b/>
          <w:bCs/>
          <w:color w:val="FF0000"/>
          <w:sz w:val="20"/>
          <w:szCs w:val="20"/>
          <w:vertAlign w:val="superscript"/>
          <w:lang w:val="fr-FR"/>
        </w:rPr>
        <w:t>er</w:t>
      </w:r>
      <w:r w:rsidRPr="007C14AA">
        <w:rPr>
          <w:rFonts w:ascii="Verdana" w:eastAsia="Verdana" w:hAnsi="Verdana" w:cs="Verdana"/>
          <w:b/>
          <w:bCs/>
          <w:color w:val="FF0000"/>
          <w:sz w:val="20"/>
          <w:szCs w:val="20"/>
          <w:lang w:val="fr-FR"/>
        </w:rPr>
        <w:t> décembre 2023,</w:t>
      </w:r>
      <w:r w:rsidR="002576E5" w:rsidRPr="007C14AA">
        <w:rPr>
          <w:rFonts w:ascii="Verdana" w:eastAsia="Verdana" w:hAnsi="Verdana" w:cs="Verdana"/>
          <w:b/>
          <w:bCs/>
          <w:color w:val="FF0000"/>
          <w:sz w:val="20"/>
          <w:szCs w:val="20"/>
          <w:lang w:val="fr-FR"/>
        </w:rPr>
        <w:t xml:space="preserve"> 00</w:t>
      </w:r>
      <w:r w:rsidRPr="007C14AA">
        <w:rPr>
          <w:rFonts w:ascii="Verdana" w:eastAsia="Verdana" w:hAnsi="Verdana" w:cs="Verdana"/>
          <w:b/>
          <w:bCs/>
          <w:color w:val="FF0000"/>
          <w:sz w:val="20"/>
          <w:szCs w:val="20"/>
          <w:lang w:val="fr-FR"/>
        </w:rPr>
        <w:t> h </w:t>
      </w:r>
      <w:r w:rsidR="002576E5" w:rsidRPr="007C14AA">
        <w:rPr>
          <w:rFonts w:ascii="Verdana" w:eastAsia="Verdana" w:hAnsi="Verdana" w:cs="Verdana"/>
          <w:b/>
          <w:bCs/>
          <w:color w:val="FF0000"/>
          <w:sz w:val="20"/>
          <w:szCs w:val="20"/>
          <w:lang w:val="fr-FR"/>
        </w:rPr>
        <w:t>01 GMT</w:t>
      </w:r>
    </w:p>
    <w:p w14:paraId="7DB26ADB" w14:textId="28319F3C" w:rsidR="002576E5" w:rsidRPr="007C14AA" w:rsidRDefault="00361A2C" w:rsidP="00E7702D">
      <w:pPr>
        <w:jc w:val="center"/>
        <w:rPr>
          <w:lang w:val="fr-FR"/>
        </w:rPr>
      </w:pPr>
      <w:r w:rsidRPr="007C14AA">
        <w:rPr>
          <w:rFonts w:ascii="Verdana" w:eastAsia="Verdana" w:hAnsi="Verdana" w:cs="Verdana"/>
          <w:b/>
          <w:bCs/>
          <w:sz w:val="28"/>
          <w:szCs w:val="28"/>
          <w:lang w:val="fr-FR"/>
        </w:rPr>
        <w:t>Malgré les</w:t>
      </w:r>
      <w:r w:rsidR="008047DD" w:rsidRPr="007C14AA">
        <w:rPr>
          <w:rFonts w:ascii="Verdana" w:eastAsia="Verdana" w:hAnsi="Verdana" w:cs="Verdana"/>
          <w:b/>
          <w:bCs/>
          <w:sz w:val="28"/>
          <w:szCs w:val="28"/>
          <w:lang w:val="fr-FR"/>
        </w:rPr>
        <w:t xml:space="preserve"> </w:t>
      </w:r>
      <w:r w:rsidRPr="007C14AA">
        <w:rPr>
          <w:rFonts w:ascii="Verdana" w:eastAsia="Verdana" w:hAnsi="Verdana" w:cs="Verdana"/>
          <w:b/>
          <w:bCs/>
          <w:sz w:val="28"/>
          <w:szCs w:val="28"/>
          <w:lang w:val="fr-FR"/>
        </w:rPr>
        <w:t>progrès accomplis</w:t>
      </w:r>
      <w:r w:rsidR="008047DD" w:rsidRPr="007C14AA">
        <w:rPr>
          <w:rFonts w:ascii="Verdana" w:eastAsia="Verdana" w:hAnsi="Verdana" w:cs="Verdana"/>
          <w:b/>
          <w:bCs/>
          <w:sz w:val="28"/>
          <w:szCs w:val="28"/>
          <w:lang w:val="fr-FR"/>
        </w:rPr>
        <w:t xml:space="preserve">, les adolescentes continuent de </w:t>
      </w:r>
      <w:r w:rsidRPr="007C14AA">
        <w:rPr>
          <w:rFonts w:ascii="Verdana" w:eastAsia="Verdana" w:hAnsi="Verdana" w:cs="Verdana"/>
          <w:b/>
          <w:bCs/>
          <w:sz w:val="28"/>
          <w:szCs w:val="28"/>
          <w:lang w:val="fr-FR"/>
        </w:rPr>
        <w:t>subir de plein fouet l</w:t>
      </w:r>
      <w:r w:rsidR="008D15B0" w:rsidRPr="007C14AA">
        <w:rPr>
          <w:rFonts w:ascii="Verdana" w:eastAsia="Verdana" w:hAnsi="Verdana" w:cs="Verdana"/>
          <w:b/>
          <w:bCs/>
          <w:sz w:val="28"/>
          <w:szCs w:val="28"/>
          <w:lang w:val="fr-FR"/>
        </w:rPr>
        <w:t>’épidémie de VIH</w:t>
      </w:r>
      <w:r w:rsidR="00641C2B" w:rsidRPr="007C14AA">
        <w:rPr>
          <w:rFonts w:ascii="Verdana" w:eastAsia="Verdana" w:hAnsi="Verdana" w:cs="Verdana"/>
          <w:b/>
          <w:bCs/>
          <w:sz w:val="28"/>
          <w:szCs w:val="28"/>
          <w:lang w:val="fr-FR"/>
        </w:rPr>
        <w:t>, 98 000 nouveaux cas d’infection ayant été recensés au sein de ce</w:t>
      </w:r>
      <w:r w:rsidR="00C879CD" w:rsidRPr="007C14AA">
        <w:rPr>
          <w:rFonts w:ascii="Verdana" w:eastAsia="Verdana" w:hAnsi="Verdana" w:cs="Verdana"/>
          <w:b/>
          <w:bCs/>
          <w:sz w:val="28"/>
          <w:szCs w:val="28"/>
          <w:lang w:val="fr-FR"/>
        </w:rPr>
        <w:t xml:space="preserve"> groupe de</w:t>
      </w:r>
      <w:r w:rsidR="00641C2B" w:rsidRPr="007C14AA">
        <w:rPr>
          <w:rFonts w:ascii="Verdana" w:eastAsia="Verdana" w:hAnsi="Verdana" w:cs="Verdana"/>
          <w:b/>
          <w:bCs/>
          <w:sz w:val="28"/>
          <w:szCs w:val="28"/>
          <w:lang w:val="fr-FR"/>
        </w:rPr>
        <w:t xml:space="preserve"> population en 2022 – UNICEF</w:t>
      </w:r>
      <w:r w:rsidR="002576E5" w:rsidRPr="007C14AA">
        <w:rPr>
          <w:lang w:val="fr-FR"/>
        </w:rPr>
        <w:br/>
      </w:r>
      <w:r w:rsidR="002576E5" w:rsidRPr="007C14AA">
        <w:rPr>
          <w:lang w:val="fr-FR"/>
        </w:rPr>
        <w:br/>
      </w:r>
      <w:r w:rsidR="004260A8" w:rsidRPr="007C14AA">
        <w:rPr>
          <w:rFonts w:ascii="Verdana" w:eastAsia="Verdana" w:hAnsi="Verdana" w:cs="Verdana"/>
          <w:i/>
          <w:iCs/>
          <w:sz w:val="24"/>
          <w:szCs w:val="24"/>
          <w:lang w:val="fr-FR"/>
        </w:rPr>
        <w:t xml:space="preserve">D’importantes lacunes demeurent </w:t>
      </w:r>
      <w:r w:rsidR="00556089" w:rsidRPr="007C14AA">
        <w:rPr>
          <w:rFonts w:ascii="Verdana" w:eastAsia="Verdana" w:hAnsi="Verdana" w:cs="Verdana"/>
          <w:i/>
          <w:iCs/>
          <w:sz w:val="24"/>
          <w:szCs w:val="24"/>
          <w:lang w:val="fr-FR"/>
        </w:rPr>
        <w:t>en matière de</w:t>
      </w:r>
      <w:r w:rsidR="004260A8" w:rsidRPr="007C14AA">
        <w:rPr>
          <w:rFonts w:ascii="Verdana" w:eastAsia="Verdana" w:hAnsi="Verdana" w:cs="Verdana"/>
          <w:i/>
          <w:iCs/>
          <w:sz w:val="24"/>
          <w:szCs w:val="24"/>
          <w:lang w:val="fr-FR"/>
        </w:rPr>
        <w:t xml:space="preserve"> dépistage et </w:t>
      </w:r>
      <w:r w:rsidR="00556089" w:rsidRPr="007C14AA">
        <w:rPr>
          <w:rFonts w:ascii="Verdana" w:eastAsia="Verdana" w:hAnsi="Verdana" w:cs="Verdana"/>
          <w:i/>
          <w:iCs/>
          <w:sz w:val="24"/>
          <w:szCs w:val="24"/>
          <w:lang w:val="fr-FR"/>
        </w:rPr>
        <w:t>d</w:t>
      </w:r>
      <w:r w:rsidR="004260A8" w:rsidRPr="007C14AA">
        <w:rPr>
          <w:rFonts w:ascii="Verdana" w:eastAsia="Verdana" w:hAnsi="Verdana" w:cs="Verdana"/>
          <w:i/>
          <w:iCs/>
          <w:sz w:val="24"/>
          <w:szCs w:val="24"/>
          <w:lang w:val="fr-FR"/>
        </w:rPr>
        <w:t xml:space="preserve">’accès </w:t>
      </w:r>
      <w:r w:rsidR="00FE79A4" w:rsidRPr="007C14AA">
        <w:rPr>
          <w:rFonts w:ascii="Verdana" w:eastAsia="Verdana" w:hAnsi="Verdana" w:cs="Verdana"/>
          <w:i/>
          <w:iCs/>
          <w:sz w:val="24"/>
          <w:szCs w:val="24"/>
          <w:lang w:val="fr-FR"/>
        </w:rPr>
        <w:t>au traitement</w:t>
      </w:r>
      <w:r w:rsidR="004260A8" w:rsidRPr="007C14AA">
        <w:rPr>
          <w:rFonts w:ascii="Verdana" w:eastAsia="Verdana" w:hAnsi="Verdana" w:cs="Verdana"/>
          <w:i/>
          <w:iCs/>
          <w:sz w:val="24"/>
          <w:szCs w:val="24"/>
          <w:lang w:val="fr-FR"/>
        </w:rPr>
        <w:t xml:space="preserve"> des enfants et des adolescents </w:t>
      </w:r>
    </w:p>
    <w:p w14:paraId="40BA61C6" w14:textId="42A13A01" w:rsidR="002576E5" w:rsidRPr="007C14AA" w:rsidRDefault="002576E5" w:rsidP="002576E5">
      <w:pPr>
        <w:spacing w:after="0" w:line="240" w:lineRule="auto"/>
        <w:rPr>
          <w:rFonts w:ascii="Verdana" w:eastAsia="Verdana" w:hAnsi="Verdana" w:cs="Verdana"/>
          <w:sz w:val="20"/>
          <w:szCs w:val="20"/>
          <w:lang w:val="fr-FR"/>
        </w:rPr>
      </w:pPr>
      <w:r w:rsidRPr="007C14AA">
        <w:rPr>
          <w:rFonts w:ascii="Verdana" w:eastAsia="Verdana" w:hAnsi="Verdana" w:cs="Verdana"/>
          <w:b/>
          <w:bCs/>
          <w:sz w:val="20"/>
          <w:szCs w:val="20"/>
          <w:lang w:val="fr-FR"/>
        </w:rPr>
        <w:t xml:space="preserve">NEW YORK, </w:t>
      </w:r>
      <w:r w:rsidR="00AE6690" w:rsidRPr="007C14AA">
        <w:rPr>
          <w:rFonts w:ascii="Verdana" w:eastAsia="Verdana" w:hAnsi="Verdana" w:cs="Verdana"/>
          <w:b/>
          <w:bCs/>
          <w:sz w:val="20"/>
          <w:szCs w:val="20"/>
          <w:lang w:val="fr-FR"/>
        </w:rPr>
        <w:t xml:space="preserve">le </w:t>
      </w:r>
      <w:r w:rsidRPr="007C14AA">
        <w:rPr>
          <w:rFonts w:ascii="Verdana" w:eastAsia="Verdana" w:hAnsi="Verdana" w:cs="Verdana"/>
          <w:b/>
          <w:bCs/>
          <w:sz w:val="20"/>
          <w:szCs w:val="20"/>
          <w:lang w:val="fr-FR"/>
        </w:rPr>
        <w:t>1</w:t>
      </w:r>
      <w:r w:rsidR="00AE6690" w:rsidRPr="007C14AA">
        <w:rPr>
          <w:rFonts w:ascii="Verdana" w:eastAsia="Verdana" w:hAnsi="Verdana" w:cs="Verdana"/>
          <w:b/>
          <w:bCs/>
          <w:sz w:val="20"/>
          <w:szCs w:val="20"/>
          <w:vertAlign w:val="superscript"/>
          <w:lang w:val="fr-FR"/>
        </w:rPr>
        <w:t>er</w:t>
      </w:r>
      <w:r w:rsidR="00AE6690" w:rsidRPr="007C14AA">
        <w:rPr>
          <w:rFonts w:ascii="Verdana" w:eastAsia="Verdana" w:hAnsi="Verdana" w:cs="Verdana"/>
          <w:b/>
          <w:bCs/>
          <w:sz w:val="20"/>
          <w:szCs w:val="20"/>
          <w:lang w:val="fr-FR"/>
        </w:rPr>
        <w:t> dé</w:t>
      </w:r>
      <w:r w:rsidRPr="007C14AA">
        <w:rPr>
          <w:rFonts w:ascii="Verdana" w:eastAsia="Verdana" w:hAnsi="Verdana" w:cs="Verdana"/>
          <w:b/>
          <w:bCs/>
          <w:sz w:val="20"/>
          <w:szCs w:val="20"/>
          <w:lang w:val="fr-FR"/>
        </w:rPr>
        <w:t>cemb</w:t>
      </w:r>
      <w:r w:rsidR="00AE6690" w:rsidRPr="007C14AA">
        <w:rPr>
          <w:rFonts w:ascii="Verdana" w:eastAsia="Verdana" w:hAnsi="Verdana" w:cs="Verdana"/>
          <w:b/>
          <w:bCs/>
          <w:sz w:val="20"/>
          <w:szCs w:val="20"/>
          <w:lang w:val="fr-FR"/>
        </w:rPr>
        <w:t>re</w:t>
      </w:r>
      <w:r w:rsidRPr="007C14AA">
        <w:rPr>
          <w:rFonts w:ascii="Verdana" w:eastAsia="Verdana" w:hAnsi="Verdana" w:cs="Verdana"/>
          <w:b/>
          <w:bCs/>
          <w:sz w:val="20"/>
          <w:szCs w:val="20"/>
          <w:lang w:val="fr-FR"/>
        </w:rPr>
        <w:t xml:space="preserve"> 2023</w:t>
      </w:r>
      <w:r w:rsidRPr="007C14AA">
        <w:rPr>
          <w:rFonts w:ascii="Verdana" w:eastAsia="Verdana" w:hAnsi="Verdana" w:cs="Verdana"/>
          <w:sz w:val="20"/>
          <w:szCs w:val="20"/>
          <w:lang w:val="fr-FR"/>
        </w:rPr>
        <w:t xml:space="preserve"> </w:t>
      </w:r>
      <w:r w:rsidRPr="007C14AA">
        <w:rPr>
          <w:rFonts w:ascii="Verdana" w:eastAsia="Verdana" w:hAnsi="Verdana" w:cs="Verdana"/>
          <w:b/>
          <w:bCs/>
          <w:sz w:val="20"/>
          <w:szCs w:val="20"/>
          <w:lang w:val="fr-FR"/>
        </w:rPr>
        <w:t>–</w:t>
      </w:r>
      <w:r w:rsidR="0049499F" w:rsidRPr="007C14AA">
        <w:rPr>
          <w:rFonts w:ascii="Verdana" w:eastAsia="Verdana" w:hAnsi="Verdana" w:cs="Verdana"/>
          <w:b/>
          <w:bCs/>
          <w:sz w:val="20"/>
          <w:szCs w:val="20"/>
          <w:lang w:val="fr-FR"/>
        </w:rPr>
        <w:t> </w:t>
      </w:r>
      <w:r w:rsidR="00A637FF" w:rsidRPr="007C14AA">
        <w:rPr>
          <w:rFonts w:ascii="Verdana" w:eastAsia="Verdana" w:hAnsi="Verdana" w:cs="Verdana"/>
          <w:sz w:val="20"/>
          <w:szCs w:val="20"/>
          <w:lang w:val="fr-FR"/>
        </w:rPr>
        <w:t>Près de 98</w:t>
      </w:r>
      <w:r w:rsidR="00A637FF" w:rsidRPr="007C14AA">
        <w:rPr>
          <w:rFonts w:ascii="Verdana" w:eastAsia="Verdana" w:hAnsi="Verdana" w:cs="Verdana"/>
          <w:sz w:val="20"/>
          <w:szCs w:val="20"/>
          <w:lang w:val="fr-FR"/>
        </w:rPr>
        <w:t> </w:t>
      </w:r>
      <w:r w:rsidR="00A637FF" w:rsidRPr="007C14AA">
        <w:rPr>
          <w:rFonts w:ascii="Verdana" w:eastAsia="Verdana" w:hAnsi="Verdana" w:cs="Verdana"/>
          <w:sz w:val="20"/>
          <w:szCs w:val="20"/>
          <w:lang w:val="fr-FR"/>
        </w:rPr>
        <w:t>000</w:t>
      </w:r>
      <w:r w:rsidR="00A637FF" w:rsidRPr="007C14AA">
        <w:rPr>
          <w:rFonts w:ascii="Verdana" w:eastAsia="Verdana" w:hAnsi="Verdana" w:cs="Verdana"/>
          <w:sz w:val="20"/>
          <w:szCs w:val="20"/>
          <w:lang w:val="fr-FR"/>
        </w:rPr>
        <w:t> </w:t>
      </w:r>
      <w:r w:rsidR="00A637FF" w:rsidRPr="007C14AA">
        <w:rPr>
          <w:rFonts w:ascii="Verdana" w:eastAsia="Verdana" w:hAnsi="Verdana" w:cs="Verdana"/>
          <w:sz w:val="20"/>
          <w:szCs w:val="20"/>
          <w:lang w:val="fr-FR"/>
        </w:rPr>
        <w:t>adolescentes âgées de 10 à 19</w:t>
      </w:r>
      <w:r w:rsidR="00A637FF" w:rsidRPr="007C14AA">
        <w:rPr>
          <w:rFonts w:ascii="Verdana" w:eastAsia="Verdana" w:hAnsi="Verdana" w:cs="Verdana"/>
          <w:sz w:val="20"/>
          <w:szCs w:val="20"/>
          <w:lang w:val="fr-FR"/>
        </w:rPr>
        <w:t> </w:t>
      </w:r>
      <w:r w:rsidR="00A637FF" w:rsidRPr="007C14AA">
        <w:rPr>
          <w:rFonts w:ascii="Verdana" w:eastAsia="Verdana" w:hAnsi="Verdana" w:cs="Verdana"/>
          <w:sz w:val="20"/>
          <w:szCs w:val="20"/>
          <w:lang w:val="fr-FR"/>
        </w:rPr>
        <w:t>ans ont été infectées par le VIH en 2022, soit 1</w:t>
      </w:r>
      <w:r w:rsidR="00A637FF" w:rsidRPr="007C14AA">
        <w:rPr>
          <w:rFonts w:ascii="Verdana" w:eastAsia="Verdana" w:hAnsi="Verdana" w:cs="Verdana"/>
          <w:sz w:val="20"/>
          <w:szCs w:val="20"/>
          <w:lang w:val="fr-FR"/>
        </w:rPr>
        <w:t> </w:t>
      </w:r>
      <w:r w:rsidR="00A637FF" w:rsidRPr="007C14AA">
        <w:rPr>
          <w:rFonts w:ascii="Verdana" w:eastAsia="Verdana" w:hAnsi="Verdana" w:cs="Verdana"/>
          <w:sz w:val="20"/>
          <w:szCs w:val="20"/>
          <w:lang w:val="fr-FR"/>
        </w:rPr>
        <w:t>900</w:t>
      </w:r>
      <w:r w:rsidR="00ED4C0C" w:rsidRPr="007C14AA">
        <w:rPr>
          <w:rFonts w:ascii="Verdana" w:eastAsia="Verdana" w:hAnsi="Verdana" w:cs="Verdana"/>
          <w:sz w:val="20"/>
          <w:szCs w:val="20"/>
          <w:lang w:val="fr-FR"/>
        </w:rPr>
        <w:t> </w:t>
      </w:r>
      <w:r w:rsidR="00A637FF" w:rsidRPr="007C14AA">
        <w:rPr>
          <w:rFonts w:ascii="Verdana" w:eastAsia="Verdana" w:hAnsi="Verdana" w:cs="Verdana"/>
          <w:sz w:val="20"/>
          <w:szCs w:val="20"/>
          <w:lang w:val="fr-FR"/>
        </w:rPr>
        <w:t>nouvelles infections chaque semaine, selon le</w:t>
      </w:r>
      <w:r w:rsidR="00ED4C0C" w:rsidRPr="007C14AA">
        <w:rPr>
          <w:rFonts w:ascii="Verdana" w:eastAsia="Verdana" w:hAnsi="Verdana" w:cs="Verdana"/>
          <w:sz w:val="20"/>
          <w:szCs w:val="20"/>
          <w:lang w:val="fr-FR"/>
        </w:rPr>
        <w:t xml:space="preserve"> tout dernier rapport de l’UNICEF</w:t>
      </w:r>
      <w:r w:rsidR="00F7551F" w:rsidRPr="007C14AA">
        <w:rPr>
          <w:rFonts w:ascii="Verdana" w:eastAsia="Verdana" w:hAnsi="Verdana" w:cs="Verdana"/>
          <w:sz w:val="20"/>
          <w:szCs w:val="20"/>
          <w:lang w:val="fr-FR"/>
        </w:rPr>
        <w:t xml:space="preserve"> intitulé</w:t>
      </w:r>
      <w:r w:rsidR="00ED4C0C" w:rsidRPr="007C14AA">
        <w:rPr>
          <w:rFonts w:ascii="Verdana" w:eastAsia="Verdana" w:hAnsi="Verdana" w:cs="Verdana"/>
          <w:sz w:val="20"/>
          <w:szCs w:val="20"/>
          <w:lang w:val="fr-FR"/>
        </w:rPr>
        <w:t xml:space="preserve"> </w:t>
      </w:r>
      <w:hyperlink r:id="rId6">
        <w:r w:rsidR="00B846F8" w:rsidRPr="007C14AA">
          <w:rPr>
            <w:rStyle w:val="Hyperlink"/>
            <w:rFonts w:ascii="Verdana" w:eastAsia="Verdana" w:hAnsi="Verdana" w:cs="Verdana"/>
            <w:i/>
            <w:iCs/>
            <w:sz w:val="20"/>
            <w:szCs w:val="20"/>
            <w:lang w:val="fr-FR"/>
          </w:rPr>
          <w:t>Global Snapshot on Children with HIV and AIDS</w:t>
        </w:r>
      </w:hyperlink>
      <w:r w:rsidR="00B846F8" w:rsidRPr="007C14AA">
        <w:rPr>
          <w:rStyle w:val="Hyperlink"/>
          <w:rFonts w:ascii="Verdana" w:eastAsia="Verdana" w:hAnsi="Verdana" w:cs="Verdana"/>
          <w:i/>
          <w:iCs/>
          <w:sz w:val="20"/>
          <w:szCs w:val="20"/>
          <w:lang w:val="fr-FR"/>
        </w:rPr>
        <w:t xml:space="preserve"> </w:t>
      </w:r>
      <w:r w:rsidR="00B846F8" w:rsidRPr="007C14AA">
        <w:rPr>
          <w:rFonts w:ascii="Verdana" w:eastAsia="Verdana" w:hAnsi="Verdana" w:cs="Verdana"/>
          <w:sz w:val="20"/>
          <w:szCs w:val="20"/>
          <w:lang w:val="fr-FR"/>
        </w:rPr>
        <w:t xml:space="preserve">(Aperçu mondial </w:t>
      </w:r>
      <w:r w:rsidR="00F64B84" w:rsidRPr="007C14AA">
        <w:rPr>
          <w:rFonts w:ascii="Verdana" w:eastAsia="Verdana" w:hAnsi="Verdana" w:cs="Verdana"/>
          <w:sz w:val="20"/>
          <w:szCs w:val="20"/>
          <w:lang w:val="fr-FR"/>
        </w:rPr>
        <w:t xml:space="preserve">de l’épidémie de VIH et de </w:t>
      </w:r>
      <w:r w:rsidR="004E3C14" w:rsidRPr="007C14AA">
        <w:rPr>
          <w:rFonts w:ascii="Verdana" w:eastAsia="Verdana" w:hAnsi="Verdana" w:cs="Verdana"/>
          <w:sz w:val="20"/>
          <w:szCs w:val="20"/>
          <w:lang w:val="fr-FR"/>
        </w:rPr>
        <w:t>s</w:t>
      </w:r>
      <w:r w:rsidR="00F64B84" w:rsidRPr="007C14AA">
        <w:rPr>
          <w:rFonts w:ascii="Verdana" w:eastAsia="Verdana" w:hAnsi="Verdana" w:cs="Verdana"/>
          <w:sz w:val="20"/>
          <w:szCs w:val="20"/>
          <w:lang w:val="fr-FR"/>
        </w:rPr>
        <w:t>ida chez les enfants)</w:t>
      </w:r>
      <w:r w:rsidR="00FC64D8" w:rsidRPr="007C14AA">
        <w:rPr>
          <w:rFonts w:ascii="Verdana" w:eastAsia="Verdana" w:hAnsi="Verdana" w:cs="Verdana"/>
          <w:sz w:val="20"/>
          <w:szCs w:val="20"/>
          <w:lang w:val="fr-FR"/>
        </w:rPr>
        <w:t xml:space="preserve"> publ</w:t>
      </w:r>
      <w:r w:rsidR="00EE33EB" w:rsidRPr="007C14AA">
        <w:rPr>
          <w:rFonts w:ascii="Verdana" w:eastAsia="Verdana" w:hAnsi="Verdana" w:cs="Verdana"/>
          <w:sz w:val="20"/>
          <w:szCs w:val="20"/>
          <w:lang w:val="fr-FR"/>
        </w:rPr>
        <w:t xml:space="preserve">ié la veille de </w:t>
      </w:r>
      <w:r w:rsidR="00D751C4" w:rsidRPr="007C14AA">
        <w:rPr>
          <w:rFonts w:ascii="Verdana" w:eastAsia="Verdana" w:hAnsi="Verdana" w:cs="Verdana"/>
          <w:sz w:val="20"/>
          <w:szCs w:val="20"/>
          <w:lang w:val="fr-FR"/>
        </w:rPr>
        <w:t>la Journée mondiale du sida.</w:t>
      </w:r>
      <w:r w:rsidRPr="007C14AA">
        <w:rPr>
          <w:rFonts w:ascii="Verdana" w:hAnsi="Verdana"/>
          <w:lang w:val="fr-FR"/>
        </w:rPr>
        <w:br/>
      </w:r>
      <w:r w:rsidRPr="007C14AA">
        <w:rPr>
          <w:rFonts w:ascii="Verdana" w:hAnsi="Verdana"/>
          <w:lang w:val="fr-FR"/>
        </w:rPr>
        <w:br/>
      </w:r>
      <w:r w:rsidR="00893C54" w:rsidRPr="007C14AA">
        <w:rPr>
          <w:rStyle w:val="normaltextrun"/>
          <w:rFonts w:ascii="Verdana" w:hAnsi="Verdana"/>
          <w:color w:val="000000"/>
          <w:sz w:val="20"/>
          <w:szCs w:val="20"/>
          <w:shd w:val="clear" w:color="auto" w:fill="FFFFFF"/>
          <w:lang w:val="fr-FR"/>
        </w:rPr>
        <w:t>Bien que le nombre total d</w:t>
      </w:r>
      <w:r w:rsidR="00893C54" w:rsidRPr="007C14AA">
        <w:rPr>
          <w:rStyle w:val="normaltextrun"/>
          <w:rFonts w:ascii="Verdana" w:hAnsi="Verdana"/>
          <w:color w:val="000000"/>
          <w:sz w:val="20"/>
          <w:szCs w:val="20"/>
          <w:shd w:val="clear" w:color="auto" w:fill="FFFFFF"/>
          <w:lang w:val="fr-FR"/>
        </w:rPr>
        <w:t>’</w:t>
      </w:r>
      <w:r w:rsidR="00893C54" w:rsidRPr="007C14AA">
        <w:rPr>
          <w:rStyle w:val="normaltextrun"/>
          <w:rFonts w:ascii="Verdana" w:hAnsi="Verdana"/>
          <w:color w:val="000000"/>
          <w:sz w:val="20"/>
          <w:szCs w:val="20"/>
          <w:shd w:val="clear" w:color="auto" w:fill="FFFFFF"/>
          <w:lang w:val="fr-FR"/>
        </w:rPr>
        <w:t>infections chez les filles âgées de 10 à 19</w:t>
      </w:r>
      <w:r w:rsidR="00893C54" w:rsidRPr="007C14AA">
        <w:rPr>
          <w:rStyle w:val="normaltextrun"/>
          <w:rFonts w:ascii="Verdana" w:hAnsi="Verdana"/>
          <w:color w:val="000000"/>
          <w:sz w:val="20"/>
          <w:szCs w:val="20"/>
          <w:shd w:val="clear" w:color="auto" w:fill="FFFFFF"/>
          <w:lang w:val="fr-FR"/>
        </w:rPr>
        <w:t> </w:t>
      </w:r>
      <w:r w:rsidR="00893C54" w:rsidRPr="007C14AA">
        <w:rPr>
          <w:rStyle w:val="normaltextrun"/>
          <w:rFonts w:ascii="Verdana" w:hAnsi="Verdana"/>
          <w:color w:val="000000"/>
          <w:sz w:val="20"/>
          <w:szCs w:val="20"/>
          <w:shd w:val="clear" w:color="auto" w:fill="FFFFFF"/>
          <w:lang w:val="fr-FR"/>
        </w:rPr>
        <w:t xml:space="preserve">ans ait presque diminué de moitié depuis 2010 </w:t>
      </w:r>
      <w:r w:rsidR="00893C54" w:rsidRPr="007C14AA">
        <w:rPr>
          <w:rStyle w:val="normaltextrun"/>
          <w:rFonts w:ascii="Verdana" w:hAnsi="Verdana"/>
          <w:color w:val="000000"/>
          <w:sz w:val="20"/>
          <w:szCs w:val="20"/>
          <w:shd w:val="clear" w:color="auto" w:fill="FFFFFF"/>
          <w:lang w:val="fr-FR"/>
        </w:rPr>
        <w:t>–</w:t>
      </w:r>
      <w:r w:rsidR="00F8599C" w:rsidRPr="007C14AA">
        <w:rPr>
          <w:rStyle w:val="normaltextrun"/>
          <w:rFonts w:ascii="Verdana" w:hAnsi="Verdana"/>
          <w:color w:val="000000"/>
          <w:sz w:val="20"/>
          <w:szCs w:val="20"/>
          <w:shd w:val="clear" w:color="auto" w:fill="FFFFFF"/>
          <w:lang w:val="fr-FR"/>
        </w:rPr>
        <w:t> </w:t>
      </w:r>
      <w:r w:rsidR="00893C54" w:rsidRPr="007C14AA">
        <w:rPr>
          <w:rStyle w:val="normaltextrun"/>
          <w:rFonts w:ascii="Verdana" w:hAnsi="Verdana"/>
          <w:color w:val="000000"/>
          <w:sz w:val="20"/>
          <w:szCs w:val="20"/>
          <w:shd w:val="clear" w:color="auto" w:fill="FFFFFF"/>
          <w:lang w:val="fr-FR"/>
        </w:rPr>
        <w:t>passant de 190</w:t>
      </w:r>
      <w:r w:rsidR="00893C54" w:rsidRPr="007C14AA">
        <w:rPr>
          <w:rStyle w:val="normaltextrun"/>
          <w:rFonts w:ascii="Verdana" w:hAnsi="Verdana"/>
          <w:color w:val="000000"/>
          <w:sz w:val="20"/>
          <w:szCs w:val="20"/>
          <w:shd w:val="clear" w:color="auto" w:fill="FFFFFF"/>
          <w:lang w:val="fr-FR"/>
        </w:rPr>
        <w:t> </w:t>
      </w:r>
      <w:r w:rsidR="00893C54" w:rsidRPr="007C14AA">
        <w:rPr>
          <w:rStyle w:val="normaltextrun"/>
          <w:rFonts w:ascii="Verdana" w:hAnsi="Verdana"/>
          <w:color w:val="000000"/>
          <w:sz w:val="20"/>
          <w:szCs w:val="20"/>
          <w:shd w:val="clear" w:color="auto" w:fill="FFFFFF"/>
          <w:lang w:val="fr-FR"/>
        </w:rPr>
        <w:t>000 à 98</w:t>
      </w:r>
      <w:r w:rsidR="004F0AD2" w:rsidRPr="007C14AA">
        <w:rPr>
          <w:rStyle w:val="normaltextrun"/>
          <w:rFonts w:ascii="Verdana" w:hAnsi="Verdana"/>
          <w:color w:val="000000"/>
          <w:sz w:val="20"/>
          <w:szCs w:val="20"/>
          <w:shd w:val="clear" w:color="auto" w:fill="FFFFFF"/>
          <w:lang w:val="fr-FR"/>
        </w:rPr>
        <w:t> </w:t>
      </w:r>
      <w:r w:rsidR="00893C54" w:rsidRPr="007C14AA">
        <w:rPr>
          <w:rStyle w:val="normaltextrun"/>
          <w:rFonts w:ascii="Verdana" w:hAnsi="Verdana"/>
          <w:color w:val="000000"/>
          <w:sz w:val="20"/>
          <w:szCs w:val="20"/>
          <w:shd w:val="clear" w:color="auto" w:fill="FFFFFF"/>
          <w:lang w:val="fr-FR"/>
        </w:rPr>
        <w:t xml:space="preserve">000 </w:t>
      </w:r>
      <w:r w:rsidR="004F0AD2" w:rsidRPr="007C14AA">
        <w:rPr>
          <w:rStyle w:val="normaltextrun"/>
          <w:rFonts w:ascii="Verdana" w:hAnsi="Verdana"/>
          <w:color w:val="000000"/>
          <w:sz w:val="20"/>
          <w:szCs w:val="20"/>
          <w:shd w:val="clear" w:color="auto" w:fill="FFFFFF"/>
          <w:lang w:val="fr-FR"/>
        </w:rPr>
        <w:t>nouveaux cas par an</w:t>
      </w:r>
      <w:r w:rsidR="00823007" w:rsidRPr="007C14AA">
        <w:rPr>
          <w:rStyle w:val="normaltextrun"/>
          <w:rFonts w:ascii="Verdana" w:hAnsi="Verdana"/>
          <w:color w:val="000000"/>
          <w:sz w:val="20"/>
          <w:szCs w:val="20"/>
          <w:shd w:val="clear" w:color="auto" w:fill="FFFFFF"/>
          <w:lang w:val="fr-FR"/>
        </w:rPr>
        <w:t> </w:t>
      </w:r>
      <w:r w:rsidR="004F0AD2" w:rsidRPr="007C14AA">
        <w:rPr>
          <w:rStyle w:val="normaltextrun"/>
          <w:rFonts w:ascii="Verdana" w:hAnsi="Verdana"/>
          <w:color w:val="000000"/>
          <w:sz w:val="20"/>
          <w:szCs w:val="20"/>
          <w:shd w:val="clear" w:color="auto" w:fill="FFFFFF"/>
          <w:lang w:val="fr-FR"/>
        </w:rPr>
        <w:t>–</w:t>
      </w:r>
      <w:r w:rsidR="00475EA3" w:rsidRPr="007C14AA">
        <w:rPr>
          <w:rStyle w:val="normaltextrun"/>
          <w:rFonts w:ascii="Verdana" w:hAnsi="Verdana"/>
          <w:color w:val="000000"/>
          <w:sz w:val="20"/>
          <w:szCs w:val="20"/>
          <w:shd w:val="clear" w:color="auto" w:fill="FFFFFF"/>
          <w:lang w:val="fr-FR"/>
        </w:rPr>
        <w:t> </w:t>
      </w:r>
      <w:r w:rsidR="00893C54" w:rsidRPr="007C14AA">
        <w:rPr>
          <w:rStyle w:val="normaltextrun"/>
          <w:rFonts w:ascii="Verdana" w:hAnsi="Verdana"/>
          <w:color w:val="000000"/>
          <w:sz w:val="20"/>
          <w:szCs w:val="20"/>
          <w:shd w:val="clear" w:color="auto" w:fill="FFFFFF"/>
          <w:lang w:val="fr-FR"/>
        </w:rPr>
        <w:t xml:space="preserve">les filles </w:t>
      </w:r>
      <w:r w:rsidR="00F63959" w:rsidRPr="007C14AA">
        <w:rPr>
          <w:rStyle w:val="normaltextrun"/>
          <w:rFonts w:ascii="Verdana" w:hAnsi="Verdana"/>
          <w:color w:val="000000"/>
          <w:sz w:val="20"/>
          <w:szCs w:val="20"/>
          <w:shd w:val="clear" w:color="auto" w:fill="FFFFFF"/>
          <w:lang w:val="fr-FR"/>
        </w:rPr>
        <w:t xml:space="preserve">présentaient </w:t>
      </w:r>
      <w:r w:rsidR="00290E16" w:rsidRPr="007C14AA">
        <w:rPr>
          <w:rStyle w:val="normaltextrun"/>
          <w:rFonts w:ascii="Verdana" w:hAnsi="Verdana"/>
          <w:color w:val="000000"/>
          <w:sz w:val="20"/>
          <w:szCs w:val="20"/>
          <w:shd w:val="clear" w:color="auto" w:fill="FFFFFF"/>
          <w:lang w:val="fr-FR"/>
        </w:rPr>
        <w:t>en</w:t>
      </w:r>
      <w:r w:rsidR="005F0ED8" w:rsidRPr="007C14AA">
        <w:rPr>
          <w:rStyle w:val="normaltextrun"/>
          <w:rFonts w:ascii="Verdana" w:hAnsi="Verdana"/>
          <w:color w:val="000000"/>
          <w:sz w:val="20"/>
          <w:szCs w:val="20"/>
          <w:shd w:val="clear" w:color="auto" w:fill="FFFFFF"/>
          <w:lang w:val="fr-FR"/>
        </w:rPr>
        <w:t>core en</w:t>
      </w:r>
      <w:r w:rsidR="00290E16" w:rsidRPr="007C14AA">
        <w:rPr>
          <w:rStyle w:val="normaltextrun"/>
          <w:rFonts w:ascii="Verdana" w:hAnsi="Verdana"/>
          <w:color w:val="000000"/>
          <w:sz w:val="20"/>
          <w:szCs w:val="20"/>
          <w:shd w:val="clear" w:color="auto" w:fill="FFFFFF"/>
          <w:lang w:val="fr-FR"/>
        </w:rPr>
        <w:t xml:space="preserve"> 2022 </w:t>
      </w:r>
      <w:r w:rsidR="00F63959" w:rsidRPr="007C14AA">
        <w:rPr>
          <w:rStyle w:val="normaltextrun"/>
          <w:rFonts w:ascii="Verdana" w:hAnsi="Verdana"/>
          <w:color w:val="000000"/>
          <w:sz w:val="20"/>
          <w:szCs w:val="20"/>
          <w:shd w:val="clear" w:color="auto" w:fill="FFFFFF"/>
          <w:lang w:val="fr-FR"/>
        </w:rPr>
        <w:t xml:space="preserve">un risque de contracter le VIH deux fois supérieur </w:t>
      </w:r>
      <w:r w:rsidR="00EE756A" w:rsidRPr="007C14AA">
        <w:rPr>
          <w:rStyle w:val="normaltextrun"/>
          <w:rFonts w:ascii="Verdana" w:hAnsi="Verdana"/>
          <w:color w:val="000000"/>
          <w:sz w:val="20"/>
          <w:szCs w:val="20"/>
          <w:shd w:val="clear" w:color="auto" w:fill="FFFFFF"/>
          <w:lang w:val="fr-FR"/>
        </w:rPr>
        <w:t>à celui des</w:t>
      </w:r>
      <w:r w:rsidR="00F63959" w:rsidRPr="007C14AA">
        <w:rPr>
          <w:rStyle w:val="normaltextrun"/>
          <w:rFonts w:ascii="Verdana" w:hAnsi="Verdana"/>
          <w:color w:val="000000"/>
          <w:sz w:val="20"/>
          <w:szCs w:val="20"/>
          <w:shd w:val="clear" w:color="auto" w:fill="FFFFFF"/>
          <w:lang w:val="fr-FR"/>
        </w:rPr>
        <w:t xml:space="preserve"> garçons</w:t>
      </w:r>
      <w:r w:rsidR="00893C54" w:rsidRPr="007C14AA">
        <w:rPr>
          <w:rStyle w:val="normaltextrun"/>
          <w:rFonts w:ascii="Verdana" w:hAnsi="Verdana"/>
          <w:color w:val="000000"/>
          <w:sz w:val="20"/>
          <w:szCs w:val="20"/>
          <w:shd w:val="clear" w:color="auto" w:fill="FFFFFF"/>
          <w:lang w:val="fr-FR"/>
        </w:rPr>
        <w:t>. Au niveau mondial, 270</w:t>
      </w:r>
      <w:r w:rsidR="001E0BFA" w:rsidRPr="007C14AA">
        <w:rPr>
          <w:rStyle w:val="normaltextrun"/>
          <w:rFonts w:ascii="Verdana" w:hAnsi="Verdana"/>
          <w:color w:val="000000"/>
          <w:sz w:val="20"/>
          <w:szCs w:val="20"/>
          <w:shd w:val="clear" w:color="auto" w:fill="FFFFFF"/>
          <w:lang w:val="fr-FR"/>
        </w:rPr>
        <w:t> </w:t>
      </w:r>
      <w:r w:rsidR="00893C54" w:rsidRPr="007C14AA">
        <w:rPr>
          <w:rStyle w:val="normaltextrun"/>
          <w:rFonts w:ascii="Verdana" w:hAnsi="Verdana"/>
          <w:color w:val="000000"/>
          <w:sz w:val="20"/>
          <w:szCs w:val="20"/>
          <w:shd w:val="clear" w:color="auto" w:fill="FFFFFF"/>
          <w:lang w:val="fr-FR"/>
        </w:rPr>
        <w:t>000</w:t>
      </w:r>
      <w:r w:rsidR="001E0BFA" w:rsidRPr="007C14AA">
        <w:rPr>
          <w:rStyle w:val="normaltextrun"/>
          <w:rFonts w:ascii="Verdana" w:hAnsi="Verdana"/>
          <w:color w:val="000000"/>
          <w:sz w:val="20"/>
          <w:szCs w:val="20"/>
          <w:shd w:val="clear" w:color="auto" w:fill="FFFFFF"/>
          <w:lang w:val="fr-FR"/>
        </w:rPr>
        <w:t> </w:t>
      </w:r>
      <w:r w:rsidR="00893C54" w:rsidRPr="007C14AA">
        <w:rPr>
          <w:rStyle w:val="normaltextrun"/>
          <w:rFonts w:ascii="Verdana" w:hAnsi="Verdana"/>
          <w:color w:val="000000"/>
          <w:sz w:val="20"/>
          <w:szCs w:val="20"/>
          <w:shd w:val="clear" w:color="auto" w:fill="FFFFFF"/>
          <w:lang w:val="fr-FR"/>
        </w:rPr>
        <w:t>nouveaux cas d</w:t>
      </w:r>
      <w:r w:rsidR="001E0BFA" w:rsidRPr="007C14AA">
        <w:rPr>
          <w:rStyle w:val="normaltextrun"/>
          <w:rFonts w:ascii="Verdana" w:hAnsi="Verdana"/>
          <w:color w:val="000000"/>
          <w:sz w:val="20"/>
          <w:szCs w:val="20"/>
          <w:shd w:val="clear" w:color="auto" w:fill="FFFFFF"/>
          <w:lang w:val="fr-FR"/>
        </w:rPr>
        <w:t>’</w:t>
      </w:r>
      <w:r w:rsidR="00893C54" w:rsidRPr="007C14AA">
        <w:rPr>
          <w:rStyle w:val="normaltextrun"/>
          <w:rFonts w:ascii="Verdana" w:hAnsi="Verdana"/>
          <w:color w:val="000000"/>
          <w:sz w:val="20"/>
          <w:szCs w:val="20"/>
          <w:shd w:val="clear" w:color="auto" w:fill="FFFFFF"/>
          <w:lang w:val="fr-FR"/>
        </w:rPr>
        <w:t xml:space="preserve">infection par le VIH ont été recensés </w:t>
      </w:r>
      <w:r w:rsidR="009C686E" w:rsidRPr="007C14AA">
        <w:rPr>
          <w:rStyle w:val="normaltextrun"/>
          <w:rFonts w:ascii="Verdana" w:hAnsi="Verdana"/>
          <w:color w:val="000000"/>
          <w:sz w:val="20"/>
          <w:szCs w:val="20"/>
          <w:shd w:val="clear" w:color="auto" w:fill="FFFFFF"/>
          <w:lang w:val="fr-FR"/>
        </w:rPr>
        <w:t>l’année dernière</w:t>
      </w:r>
      <w:r w:rsidR="009C686E" w:rsidRPr="007C14AA">
        <w:rPr>
          <w:rStyle w:val="normaltextrun"/>
          <w:rFonts w:ascii="Verdana" w:hAnsi="Verdana"/>
          <w:color w:val="000000"/>
          <w:sz w:val="20"/>
          <w:szCs w:val="20"/>
          <w:shd w:val="clear" w:color="auto" w:fill="FFFFFF"/>
          <w:lang w:val="fr-FR"/>
        </w:rPr>
        <w:t xml:space="preserve"> </w:t>
      </w:r>
      <w:r w:rsidR="00893C54" w:rsidRPr="007C14AA">
        <w:rPr>
          <w:rStyle w:val="normaltextrun"/>
          <w:rFonts w:ascii="Verdana" w:hAnsi="Verdana"/>
          <w:color w:val="000000"/>
          <w:sz w:val="20"/>
          <w:szCs w:val="20"/>
          <w:shd w:val="clear" w:color="auto" w:fill="FFFFFF"/>
          <w:lang w:val="fr-FR"/>
        </w:rPr>
        <w:t>parmi les enfants et les adolescents âgés de 0 à 19</w:t>
      </w:r>
      <w:r w:rsidR="001E0BFA" w:rsidRPr="007C14AA">
        <w:rPr>
          <w:rStyle w:val="normaltextrun"/>
          <w:rFonts w:ascii="Verdana" w:hAnsi="Verdana"/>
          <w:color w:val="000000"/>
          <w:sz w:val="20"/>
          <w:szCs w:val="20"/>
          <w:shd w:val="clear" w:color="auto" w:fill="FFFFFF"/>
          <w:lang w:val="fr-FR"/>
        </w:rPr>
        <w:t> </w:t>
      </w:r>
      <w:r w:rsidR="00893C54" w:rsidRPr="007C14AA">
        <w:rPr>
          <w:rStyle w:val="normaltextrun"/>
          <w:rFonts w:ascii="Verdana" w:hAnsi="Verdana"/>
          <w:color w:val="000000"/>
          <w:sz w:val="20"/>
          <w:szCs w:val="20"/>
          <w:shd w:val="clear" w:color="auto" w:fill="FFFFFF"/>
          <w:lang w:val="fr-FR"/>
        </w:rPr>
        <w:t>ans, port</w:t>
      </w:r>
      <w:r w:rsidR="00855D37" w:rsidRPr="007C14AA">
        <w:rPr>
          <w:rStyle w:val="normaltextrun"/>
          <w:rFonts w:ascii="Verdana" w:hAnsi="Verdana"/>
          <w:color w:val="000000"/>
          <w:sz w:val="20"/>
          <w:szCs w:val="20"/>
          <w:shd w:val="clear" w:color="auto" w:fill="FFFFFF"/>
          <w:lang w:val="fr-FR"/>
        </w:rPr>
        <w:t>ant</w:t>
      </w:r>
      <w:r w:rsidR="00893C54" w:rsidRPr="007C14AA">
        <w:rPr>
          <w:rStyle w:val="normaltextrun"/>
          <w:rFonts w:ascii="Verdana" w:hAnsi="Verdana"/>
          <w:color w:val="000000"/>
          <w:sz w:val="20"/>
          <w:szCs w:val="20"/>
          <w:shd w:val="clear" w:color="auto" w:fill="FFFFFF"/>
          <w:lang w:val="fr-FR"/>
        </w:rPr>
        <w:t xml:space="preserve"> à 2,6</w:t>
      </w:r>
      <w:r w:rsidR="00855D37" w:rsidRPr="007C14AA">
        <w:rPr>
          <w:rStyle w:val="normaltextrun"/>
          <w:rFonts w:ascii="Verdana" w:hAnsi="Verdana"/>
          <w:color w:val="000000"/>
          <w:sz w:val="20"/>
          <w:szCs w:val="20"/>
          <w:shd w:val="clear" w:color="auto" w:fill="FFFFFF"/>
          <w:lang w:val="fr-FR"/>
        </w:rPr>
        <w:t> </w:t>
      </w:r>
      <w:r w:rsidR="00893C54" w:rsidRPr="007C14AA">
        <w:rPr>
          <w:rStyle w:val="normaltextrun"/>
          <w:rFonts w:ascii="Verdana" w:hAnsi="Verdana"/>
          <w:color w:val="000000"/>
          <w:sz w:val="20"/>
          <w:szCs w:val="20"/>
          <w:shd w:val="clear" w:color="auto" w:fill="FFFFFF"/>
          <w:lang w:val="fr-FR"/>
        </w:rPr>
        <w:t>millions le nombre total de jeunes vivant avec le VIH.</w:t>
      </w:r>
      <w:r w:rsidR="0097068B" w:rsidRPr="007C14AA">
        <w:rPr>
          <w:rStyle w:val="normaltextrun"/>
          <w:rFonts w:ascii="Verdana" w:hAnsi="Verdana"/>
          <w:color w:val="000000"/>
          <w:sz w:val="20"/>
          <w:szCs w:val="20"/>
          <w:shd w:val="clear" w:color="auto" w:fill="FFFFFF"/>
          <w:lang w:val="fr-FR"/>
        </w:rPr>
        <w:t xml:space="preserve"> </w:t>
      </w:r>
      <w:r w:rsidR="006F41A0" w:rsidRPr="007C14AA">
        <w:rPr>
          <w:rFonts w:ascii="Verdana" w:hAnsi="Verdana"/>
          <w:lang w:val="fr-FR"/>
        </w:rPr>
        <w:br/>
      </w:r>
    </w:p>
    <w:p w14:paraId="4C5A3360" w14:textId="28BB4A76" w:rsidR="00D526D1" w:rsidRPr="007C14AA" w:rsidRDefault="00214FE0" w:rsidP="002576E5">
      <w:pPr>
        <w:spacing w:after="0" w:line="240" w:lineRule="auto"/>
        <w:rPr>
          <w:rFonts w:ascii="Verdana" w:eastAsia="Verdana" w:hAnsi="Verdana" w:cs="Verdana"/>
          <w:sz w:val="20"/>
          <w:szCs w:val="20"/>
          <w:lang w:val="fr-FR"/>
        </w:rPr>
      </w:pPr>
      <w:r w:rsidRPr="007C14AA">
        <w:rPr>
          <w:rFonts w:ascii="Verdana" w:eastAsia="Verdana" w:hAnsi="Verdana" w:cs="Verdana"/>
          <w:sz w:val="20"/>
          <w:szCs w:val="20"/>
          <w:lang w:val="fr-FR"/>
        </w:rPr>
        <w:t>« </w:t>
      </w:r>
      <w:r w:rsidR="00D526D1" w:rsidRPr="007C14AA">
        <w:rPr>
          <w:rFonts w:ascii="Verdana" w:eastAsia="Verdana" w:hAnsi="Verdana" w:cs="Verdana"/>
          <w:sz w:val="20"/>
          <w:szCs w:val="20"/>
          <w:lang w:val="fr-FR"/>
        </w:rPr>
        <w:t xml:space="preserve">Il est inacceptable que les adolescentes, qui devraient être en train de </w:t>
      </w:r>
      <w:r w:rsidR="00E15DAE" w:rsidRPr="007C14AA">
        <w:rPr>
          <w:rFonts w:ascii="Verdana" w:eastAsia="Verdana" w:hAnsi="Verdana" w:cs="Verdana"/>
          <w:sz w:val="20"/>
          <w:szCs w:val="20"/>
          <w:lang w:val="fr-FR"/>
        </w:rPr>
        <w:t>préparer</w:t>
      </w:r>
      <w:r w:rsidR="00D526D1" w:rsidRPr="007C14AA">
        <w:rPr>
          <w:rFonts w:ascii="Verdana" w:eastAsia="Verdana" w:hAnsi="Verdana" w:cs="Verdana"/>
          <w:sz w:val="20"/>
          <w:szCs w:val="20"/>
          <w:lang w:val="fr-FR"/>
        </w:rPr>
        <w:t xml:space="preserve"> leur avenir, continuent de </w:t>
      </w:r>
      <w:r w:rsidR="0001435D" w:rsidRPr="007C14AA">
        <w:rPr>
          <w:rFonts w:ascii="Verdana" w:eastAsia="Verdana" w:hAnsi="Verdana" w:cs="Verdana"/>
          <w:sz w:val="20"/>
          <w:szCs w:val="20"/>
          <w:lang w:val="fr-FR"/>
        </w:rPr>
        <w:t>payer</w:t>
      </w:r>
      <w:r w:rsidR="00E15DAE" w:rsidRPr="007C14AA">
        <w:rPr>
          <w:rFonts w:ascii="Verdana" w:eastAsia="Verdana" w:hAnsi="Verdana" w:cs="Verdana"/>
          <w:sz w:val="20"/>
          <w:szCs w:val="20"/>
          <w:lang w:val="fr-FR"/>
        </w:rPr>
        <w:t xml:space="preserve"> le plus lourd tribut au</w:t>
      </w:r>
      <w:r w:rsidR="00D526D1" w:rsidRPr="007C14AA">
        <w:rPr>
          <w:rFonts w:ascii="Verdana" w:eastAsia="Verdana" w:hAnsi="Verdana" w:cs="Verdana"/>
          <w:sz w:val="20"/>
          <w:szCs w:val="20"/>
          <w:lang w:val="fr-FR"/>
        </w:rPr>
        <w:t xml:space="preserve"> VIH</w:t>
      </w:r>
      <w:r w:rsidRPr="007C14AA">
        <w:rPr>
          <w:rFonts w:ascii="Verdana" w:eastAsia="Verdana" w:hAnsi="Verdana" w:cs="Verdana"/>
          <w:sz w:val="20"/>
          <w:szCs w:val="20"/>
          <w:lang w:val="fr-FR"/>
        </w:rPr>
        <w:t> »</w:t>
      </w:r>
      <w:r w:rsidR="00D526D1" w:rsidRPr="007C14AA">
        <w:rPr>
          <w:rFonts w:ascii="Verdana" w:eastAsia="Verdana" w:hAnsi="Verdana" w:cs="Verdana"/>
          <w:sz w:val="20"/>
          <w:szCs w:val="20"/>
          <w:lang w:val="fr-FR"/>
        </w:rPr>
        <w:t xml:space="preserve">, a déclaré Anurita Bains, </w:t>
      </w:r>
      <w:r w:rsidR="00603A54" w:rsidRPr="007C14AA">
        <w:rPr>
          <w:rFonts w:ascii="Verdana" w:eastAsia="Verdana" w:hAnsi="Verdana" w:cs="Verdana"/>
          <w:sz w:val="20"/>
          <w:szCs w:val="20"/>
          <w:lang w:val="fr-FR"/>
        </w:rPr>
        <w:t xml:space="preserve">Responsable </w:t>
      </w:r>
      <w:r w:rsidR="002B66A4" w:rsidRPr="007C14AA">
        <w:rPr>
          <w:rFonts w:ascii="Verdana" w:eastAsia="Verdana" w:hAnsi="Verdana" w:cs="Verdana"/>
          <w:sz w:val="20"/>
          <w:szCs w:val="20"/>
          <w:lang w:val="fr-FR"/>
        </w:rPr>
        <w:t>adjointe</w:t>
      </w:r>
      <w:r w:rsidR="00D526D1" w:rsidRPr="007C14AA">
        <w:rPr>
          <w:rFonts w:ascii="Verdana" w:eastAsia="Verdana" w:hAnsi="Verdana" w:cs="Verdana"/>
          <w:sz w:val="20"/>
          <w:szCs w:val="20"/>
          <w:lang w:val="fr-FR"/>
        </w:rPr>
        <w:t xml:space="preserve"> </w:t>
      </w:r>
      <w:r w:rsidR="00603A54" w:rsidRPr="007C14AA">
        <w:rPr>
          <w:rFonts w:ascii="Verdana" w:eastAsia="Verdana" w:hAnsi="Verdana" w:cs="Verdana"/>
          <w:sz w:val="20"/>
          <w:szCs w:val="20"/>
          <w:lang w:val="fr-FR"/>
        </w:rPr>
        <w:t>de la Section</w:t>
      </w:r>
      <w:r w:rsidR="00D526D1" w:rsidRPr="007C14AA">
        <w:rPr>
          <w:rFonts w:ascii="Verdana" w:eastAsia="Verdana" w:hAnsi="Verdana" w:cs="Verdana"/>
          <w:sz w:val="20"/>
          <w:szCs w:val="20"/>
          <w:lang w:val="fr-FR"/>
        </w:rPr>
        <w:t xml:space="preserve"> VIH/sida</w:t>
      </w:r>
      <w:r w:rsidR="000F0EFD" w:rsidRPr="007C14AA">
        <w:rPr>
          <w:rFonts w:ascii="Verdana" w:eastAsia="Verdana" w:hAnsi="Verdana" w:cs="Verdana"/>
          <w:sz w:val="20"/>
          <w:szCs w:val="20"/>
          <w:lang w:val="fr-FR"/>
        </w:rPr>
        <w:t xml:space="preserve"> </w:t>
      </w:r>
      <w:r w:rsidR="00442CBA" w:rsidRPr="007C14AA">
        <w:rPr>
          <w:rFonts w:ascii="Verdana" w:eastAsia="Verdana" w:hAnsi="Verdana" w:cs="Verdana"/>
          <w:sz w:val="20"/>
          <w:szCs w:val="20"/>
          <w:lang w:val="fr-FR"/>
        </w:rPr>
        <w:t>à</w:t>
      </w:r>
      <w:r w:rsidR="000F0EFD" w:rsidRPr="007C14AA">
        <w:rPr>
          <w:rFonts w:ascii="Verdana" w:eastAsia="Verdana" w:hAnsi="Verdana" w:cs="Verdana"/>
          <w:sz w:val="20"/>
          <w:szCs w:val="20"/>
          <w:lang w:val="fr-FR"/>
        </w:rPr>
        <w:t xml:space="preserve"> l’UNICEF</w:t>
      </w:r>
      <w:r w:rsidR="00D526D1" w:rsidRPr="007C14AA">
        <w:rPr>
          <w:rFonts w:ascii="Verdana" w:eastAsia="Verdana" w:hAnsi="Verdana" w:cs="Verdana"/>
          <w:sz w:val="20"/>
          <w:szCs w:val="20"/>
          <w:lang w:val="fr-FR"/>
        </w:rPr>
        <w:t xml:space="preserve">. </w:t>
      </w:r>
      <w:r w:rsidR="002E5D28" w:rsidRPr="007C14AA">
        <w:rPr>
          <w:rFonts w:ascii="Verdana" w:eastAsia="Verdana" w:hAnsi="Verdana" w:cs="Verdana"/>
          <w:sz w:val="20"/>
          <w:szCs w:val="20"/>
          <w:lang w:val="fr-FR"/>
        </w:rPr>
        <w:t>« </w:t>
      </w:r>
      <w:r w:rsidR="00B07434" w:rsidRPr="007C14AA">
        <w:rPr>
          <w:rFonts w:ascii="Verdana" w:eastAsia="Verdana" w:hAnsi="Verdana" w:cs="Verdana"/>
          <w:sz w:val="20"/>
          <w:szCs w:val="20"/>
          <w:lang w:val="fr-FR"/>
        </w:rPr>
        <w:t>I</w:t>
      </w:r>
      <w:r w:rsidR="00B07434" w:rsidRPr="007C14AA">
        <w:rPr>
          <w:rFonts w:ascii="Verdana" w:eastAsia="Verdana" w:hAnsi="Verdana" w:cs="Verdana"/>
          <w:sz w:val="20"/>
          <w:szCs w:val="20"/>
          <w:lang w:val="fr-FR"/>
        </w:rPr>
        <w:t xml:space="preserve">l est de notre responsabilité </w:t>
      </w:r>
      <w:r w:rsidR="00B07434" w:rsidRPr="007C14AA">
        <w:rPr>
          <w:rFonts w:ascii="Verdana" w:eastAsia="Verdana" w:hAnsi="Verdana" w:cs="Verdana"/>
          <w:sz w:val="20"/>
          <w:szCs w:val="20"/>
          <w:lang w:val="fr-FR"/>
        </w:rPr>
        <w:t xml:space="preserve">à tous, </w:t>
      </w:r>
      <w:r w:rsidR="00AC1727" w:rsidRPr="007C14AA">
        <w:rPr>
          <w:rFonts w:ascii="Verdana" w:eastAsia="Verdana" w:hAnsi="Verdana" w:cs="Verdana"/>
          <w:sz w:val="20"/>
          <w:szCs w:val="20"/>
          <w:lang w:val="fr-FR"/>
        </w:rPr>
        <w:t xml:space="preserve">des </w:t>
      </w:r>
      <w:r w:rsidR="00D526D1" w:rsidRPr="007C14AA">
        <w:rPr>
          <w:rFonts w:ascii="Verdana" w:eastAsia="Verdana" w:hAnsi="Verdana" w:cs="Verdana"/>
          <w:sz w:val="20"/>
          <w:szCs w:val="20"/>
          <w:lang w:val="fr-FR"/>
        </w:rPr>
        <w:t xml:space="preserve">Nations </w:t>
      </w:r>
      <w:r w:rsidR="002E5D28" w:rsidRPr="007C14AA">
        <w:rPr>
          <w:rFonts w:ascii="Verdana" w:eastAsia="Verdana" w:hAnsi="Verdana" w:cs="Verdana"/>
          <w:sz w:val="20"/>
          <w:szCs w:val="20"/>
          <w:lang w:val="fr-FR"/>
        </w:rPr>
        <w:t>U</w:t>
      </w:r>
      <w:r w:rsidR="00D526D1" w:rsidRPr="007C14AA">
        <w:rPr>
          <w:rFonts w:ascii="Verdana" w:eastAsia="Verdana" w:hAnsi="Verdana" w:cs="Verdana"/>
          <w:sz w:val="20"/>
          <w:szCs w:val="20"/>
          <w:lang w:val="fr-FR"/>
        </w:rPr>
        <w:t>nie</w:t>
      </w:r>
      <w:r w:rsidR="00F374D6" w:rsidRPr="007C14AA">
        <w:rPr>
          <w:rFonts w:ascii="Verdana" w:eastAsia="Verdana" w:hAnsi="Verdana" w:cs="Verdana"/>
          <w:sz w:val="20"/>
          <w:szCs w:val="20"/>
          <w:lang w:val="fr-FR"/>
        </w:rPr>
        <w:t xml:space="preserve">s aux </w:t>
      </w:r>
      <w:r w:rsidR="00D526D1" w:rsidRPr="007C14AA">
        <w:rPr>
          <w:rFonts w:ascii="Verdana" w:eastAsia="Verdana" w:hAnsi="Verdana" w:cs="Verdana"/>
          <w:sz w:val="20"/>
          <w:szCs w:val="20"/>
          <w:lang w:val="fr-FR"/>
        </w:rPr>
        <w:t xml:space="preserve">communautés, </w:t>
      </w:r>
      <w:r w:rsidR="00F374D6" w:rsidRPr="007C14AA">
        <w:rPr>
          <w:rFonts w:ascii="Verdana" w:eastAsia="Verdana" w:hAnsi="Verdana" w:cs="Verdana"/>
          <w:sz w:val="20"/>
          <w:szCs w:val="20"/>
          <w:lang w:val="fr-FR"/>
        </w:rPr>
        <w:t>en passant par l</w:t>
      </w:r>
      <w:r w:rsidR="00D526D1" w:rsidRPr="007C14AA">
        <w:rPr>
          <w:rFonts w:ascii="Verdana" w:eastAsia="Verdana" w:hAnsi="Verdana" w:cs="Verdana"/>
          <w:sz w:val="20"/>
          <w:szCs w:val="20"/>
          <w:lang w:val="fr-FR"/>
        </w:rPr>
        <w:t>es gouvernements et les organisations</w:t>
      </w:r>
      <w:r w:rsidR="00F374D6" w:rsidRPr="007C14AA">
        <w:rPr>
          <w:rFonts w:ascii="Verdana" w:eastAsia="Verdana" w:hAnsi="Verdana" w:cs="Verdana"/>
          <w:sz w:val="20"/>
          <w:szCs w:val="20"/>
          <w:lang w:val="fr-FR"/>
        </w:rPr>
        <w:t xml:space="preserve">, </w:t>
      </w:r>
      <w:r w:rsidR="00AC1727" w:rsidRPr="007C14AA">
        <w:rPr>
          <w:rFonts w:ascii="Verdana" w:eastAsia="Verdana" w:hAnsi="Verdana" w:cs="Verdana"/>
          <w:sz w:val="20"/>
          <w:szCs w:val="20"/>
          <w:lang w:val="fr-FR"/>
        </w:rPr>
        <w:t>d’éliminer</w:t>
      </w:r>
      <w:r w:rsidR="00D526D1" w:rsidRPr="007C14AA">
        <w:rPr>
          <w:rFonts w:ascii="Verdana" w:eastAsia="Verdana" w:hAnsi="Verdana" w:cs="Verdana"/>
          <w:sz w:val="20"/>
          <w:szCs w:val="20"/>
          <w:lang w:val="fr-FR"/>
        </w:rPr>
        <w:t xml:space="preserve"> les obstacles qui font du VIH une menace pour leur santé et leur bien-être. Il s</w:t>
      </w:r>
      <w:r w:rsidR="003F3695" w:rsidRPr="007C14AA">
        <w:rPr>
          <w:rFonts w:ascii="Verdana" w:eastAsia="Verdana" w:hAnsi="Verdana" w:cs="Verdana"/>
          <w:sz w:val="20"/>
          <w:szCs w:val="20"/>
          <w:lang w:val="fr-FR"/>
        </w:rPr>
        <w:t>’</w:t>
      </w:r>
      <w:r w:rsidR="00D526D1" w:rsidRPr="007C14AA">
        <w:rPr>
          <w:rFonts w:ascii="Verdana" w:eastAsia="Verdana" w:hAnsi="Verdana" w:cs="Verdana"/>
          <w:sz w:val="20"/>
          <w:szCs w:val="20"/>
          <w:lang w:val="fr-FR"/>
        </w:rPr>
        <w:t xml:space="preserve">agit notamment de veiller à ce que la santé et les droits sexuels et </w:t>
      </w:r>
      <w:r w:rsidR="008F7481" w:rsidRPr="007C14AA">
        <w:rPr>
          <w:rFonts w:ascii="Verdana" w:eastAsia="Verdana" w:hAnsi="Verdana" w:cs="Verdana"/>
          <w:sz w:val="20"/>
          <w:szCs w:val="20"/>
          <w:lang w:val="fr-FR"/>
        </w:rPr>
        <w:t>reproductifs</w:t>
      </w:r>
      <w:r w:rsidR="00D526D1" w:rsidRPr="007C14AA">
        <w:rPr>
          <w:rFonts w:ascii="Verdana" w:eastAsia="Verdana" w:hAnsi="Verdana" w:cs="Verdana"/>
          <w:sz w:val="20"/>
          <w:szCs w:val="20"/>
          <w:lang w:val="fr-FR"/>
        </w:rPr>
        <w:t xml:space="preserve"> des adolescentes et des jeunes femmes soient respectés.</w:t>
      </w:r>
      <w:r w:rsidR="00577318" w:rsidRPr="007C14AA">
        <w:rPr>
          <w:rFonts w:ascii="Verdana" w:eastAsia="Verdana" w:hAnsi="Verdana" w:cs="Verdana"/>
          <w:sz w:val="20"/>
          <w:szCs w:val="20"/>
          <w:lang w:val="fr-FR"/>
        </w:rPr>
        <w:t> »</w:t>
      </w:r>
    </w:p>
    <w:p w14:paraId="12E96147" w14:textId="77777777" w:rsidR="002576E5" w:rsidRPr="007C14AA" w:rsidRDefault="002576E5" w:rsidP="002576E5">
      <w:pPr>
        <w:spacing w:after="0" w:line="240" w:lineRule="auto"/>
        <w:rPr>
          <w:rFonts w:ascii="Verdana" w:eastAsia="Verdana" w:hAnsi="Verdana" w:cs="Verdana"/>
          <w:sz w:val="20"/>
          <w:szCs w:val="20"/>
          <w:lang w:val="fr-FR"/>
        </w:rPr>
      </w:pPr>
    </w:p>
    <w:p w14:paraId="1E45A01C" w14:textId="2CB802E8" w:rsidR="002576E5" w:rsidRPr="007C14AA" w:rsidRDefault="00BC4E6D" w:rsidP="002576E5">
      <w:pPr>
        <w:spacing w:after="0" w:line="240" w:lineRule="auto"/>
        <w:rPr>
          <w:rFonts w:ascii="Verdana" w:eastAsia="Verdana" w:hAnsi="Verdana" w:cs="Verdana"/>
          <w:sz w:val="20"/>
          <w:szCs w:val="20"/>
          <w:lang w:val="fr-FR"/>
        </w:rPr>
      </w:pPr>
      <w:r w:rsidRPr="007C14AA">
        <w:rPr>
          <w:rFonts w:ascii="Verdana" w:eastAsia="Verdana" w:hAnsi="Verdana" w:cs="Verdana"/>
          <w:sz w:val="20"/>
          <w:szCs w:val="20"/>
          <w:lang w:val="fr-FR"/>
        </w:rPr>
        <w:t>Les filles continuent d</w:t>
      </w:r>
      <w:r w:rsidRPr="007C14AA">
        <w:rPr>
          <w:rFonts w:ascii="Verdana" w:eastAsia="Verdana" w:hAnsi="Verdana" w:cs="Verdana"/>
          <w:sz w:val="20"/>
          <w:szCs w:val="20"/>
          <w:lang w:val="fr-FR"/>
        </w:rPr>
        <w:t>’</w:t>
      </w:r>
      <w:r w:rsidRPr="007C14AA">
        <w:rPr>
          <w:rFonts w:ascii="Verdana" w:eastAsia="Verdana" w:hAnsi="Verdana" w:cs="Verdana"/>
          <w:sz w:val="20"/>
          <w:szCs w:val="20"/>
          <w:lang w:val="fr-FR"/>
        </w:rPr>
        <w:t xml:space="preserve">être </w:t>
      </w:r>
      <w:r w:rsidR="002E4B88" w:rsidRPr="007C14AA">
        <w:rPr>
          <w:rFonts w:ascii="Verdana" w:eastAsia="Verdana" w:hAnsi="Verdana" w:cs="Verdana"/>
          <w:sz w:val="20"/>
          <w:szCs w:val="20"/>
          <w:lang w:val="fr-FR"/>
        </w:rPr>
        <w:t xml:space="preserve">en effet </w:t>
      </w:r>
      <w:r w:rsidRPr="007C14AA">
        <w:rPr>
          <w:rFonts w:ascii="Verdana" w:eastAsia="Verdana" w:hAnsi="Verdana" w:cs="Verdana"/>
          <w:sz w:val="20"/>
          <w:szCs w:val="20"/>
          <w:lang w:val="fr-FR"/>
        </w:rPr>
        <w:t>les principales victimes de l</w:t>
      </w:r>
      <w:r w:rsidRPr="007C14AA">
        <w:rPr>
          <w:rFonts w:ascii="Verdana" w:eastAsia="Verdana" w:hAnsi="Verdana" w:cs="Verdana"/>
          <w:sz w:val="20"/>
          <w:szCs w:val="20"/>
          <w:lang w:val="fr-FR"/>
        </w:rPr>
        <w:t>’</w:t>
      </w:r>
      <w:r w:rsidRPr="007C14AA">
        <w:rPr>
          <w:rFonts w:ascii="Verdana" w:eastAsia="Verdana" w:hAnsi="Verdana" w:cs="Verdana"/>
          <w:sz w:val="20"/>
          <w:szCs w:val="20"/>
          <w:lang w:val="fr-FR"/>
        </w:rPr>
        <w:t xml:space="preserve">épidémie de VIH, notamment en raison des inégalités </w:t>
      </w:r>
      <w:r w:rsidRPr="007C14AA">
        <w:rPr>
          <w:rFonts w:ascii="Verdana" w:eastAsia="Verdana" w:hAnsi="Verdana" w:cs="Verdana"/>
          <w:sz w:val="20"/>
          <w:szCs w:val="20"/>
          <w:lang w:val="fr-FR"/>
        </w:rPr>
        <w:t>de genre</w:t>
      </w:r>
      <w:r w:rsidRPr="007C14AA">
        <w:rPr>
          <w:rFonts w:ascii="Verdana" w:eastAsia="Verdana" w:hAnsi="Verdana" w:cs="Verdana"/>
          <w:sz w:val="20"/>
          <w:szCs w:val="20"/>
          <w:lang w:val="fr-FR"/>
        </w:rPr>
        <w:t>, qui les empêchent souvent d</w:t>
      </w:r>
      <w:r w:rsidR="00864276" w:rsidRPr="007C14AA">
        <w:rPr>
          <w:rFonts w:ascii="Verdana" w:eastAsia="Verdana" w:hAnsi="Verdana" w:cs="Verdana"/>
          <w:sz w:val="20"/>
          <w:szCs w:val="20"/>
          <w:lang w:val="fr-FR"/>
        </w:rPr>
        <w:t>’</w:t>
      </w:r>
      <w:r w:rsidRPr="007C14AA">
        <w:rPr>
          <w:rFonts w:ascii="Verdana" w:eastAsia="Verdana" w:hAnsi="Verdana" w:cs="Verdana"/>
          <w:sz w:val="20"/>
          <w:szCs w:val="20"/>
          <w:lang w:val="fr-FR"/>
        </w:rPr>
        <w:t>avoir des rapports sexuels protégés, de la pauvreté, qui se traduit par l</w:t>
      </w:r>
      <w:r w:rsidR="00864276" w:rsidRPr="007C14AA">
        <w:rPr>
          <w:rFonts w:ascii="Verdana" w:eastAsia="Verdana" w:hAnsi="Verdana" w:cs="Verdana"/>
          <w:sz w:val="20"/>
          <w:szCs w:val="20"/>
          <w:lang w:val="fr-FR"/>
        </w:rPr>
        <w:t>’</w:t>
      </w:r>
      <w:r w:rsidRPr="007C14AA">
        <w:rPr>
          <w:rFonts w:ascii="Verdana" w:eastAsia="Verdana" w:hAnsi="Verdana" w:cs="Verdana"/>
          <w:sz w:val="20"/>
          <w:szCs w:val="20"/>
          <w:lang w:val="fr-FR"/>
        </w:rPr>
        <w:t xml:space="preserve">éloignement des communautés des centres de </w:t>
      </w:r>
      <w:r w:rsidR="00F94A6D" w:rsidRPr="007C14AA">
        <w:rPr>
          <w:rFonts w:ascii="Verdana" w:eastAsia="Verdana" w:hAnsi="Verdana" w:cs="Verdana"/>
          <w:sz w:val="20"/>
          <w:szCs w:val="20"/>
          <w:lang w:val="fr-FR"/>
        </w:rPr>
        <w:t>santé</w:t>
      </w:r>
      <w:r w:rsidRPr="007C14AA">
        <w:rPr>
          <w:rFonts w:ascii="Verdana" w:eastAsia="Verdana" w:hAnsi="Verdana" w:cs="Verdana"/>
          <w:sz w:val="20"/>
          <w:szCs w:val="20"/>
          <w:lang w:val="fr-FR"/>
        </w:rPr>
        <w:t>, et du manque d</w:t>
      </w:r>
      <w:r w:rsidR="00DE6584" w:rsidRPr="007C14AA">
        <w:rPr>
          <w:rFonts w:ascii="Verdana" w:eastAsia="Verdana" w:hAnsi="Verdana" w:cs="Verdana"/>
          <w:sz w:val="20"/>
          <w:szCs w:val="20"/>
          <w:lang w:val="fr-FR"/>
        </w:rPr>
        <w:t>’</w:t>
      </w:r>
      <w:r w:rsidRPr="007C14AA">
        <w:rPr>
          <w:rFonts w:ascii="Verdana" w:eastAsia="Verdana" w:hAnsi="Verdana" w:cs="Verdana"/>
          <w:sz w:val="20"/>
          <w:szCs w:val="20"/>
          <w:lang w:val="fr-FR"/>
        </w:rPr>
        <w:t xml:space="preserve">accès aux programmes de prévention du VIH et de santé sexuelle et </w:t>
      </w:r>
      <w:r w:rsidR="004033CD" w:rsidRPr="007C14AA">
        <w:rPr>
          <w:rFonts w:ascii="Verdana" w:eastAsia="Verdana" w:hAnsi="Verdana" w:cs="Verdana"/>
          <w:sz w:val="20"/>
          <w:szCs w:val="20"/>
          <w:lang w:val="fr-FR"/>
        </w:rPr>
        <w:t>reproductive</w:t>
      </w:r>
      <w:r w:rsidRPr="007C14AA">
        <w:rPr>
          <w:rFonts w:ascii="Verdana" w:eastAsia="Verdana" w:hAnsi="Verdana" w:cs="Verdana"/>
          <w:sz w:val="20"/>
          <w:szCs w:val="20"/>
          <w:lang w:val="fr-FR"/>
        </w:rPr>
        <w:t>.</w:t>
      </w:r>
      <w:r w:rsidR="002576E5" w:rsidRPr="007C14AA">
        <w:rPr>
          <w:lang w:val="fr-FR"/>
        </w:rPr>
        <w:br/>
      </w:r>
      <w:r w:rsidR="002576E5" w:rsidRPr="007C14AA">
        <w:rPr>
          <w:lang w:val="fr-FR"/>
        </w:rPr>
        <w:br/>
      </w:r>
      <w:r w:rsidR="00F30661" w:rsidRPr="007C14AA">
        <w:rPr>
          <w:rFonts w:ascii="Verdana" w:eastAsia="Verdana" w:hAnsi="Verdana" w:cs="Verdana"/>
          <w:sz w:val="20"/>
          <w:szCs w:val="20"/>
          <w:lang w:val="fr-FR"/>
        </w:rPr>
        <w:t>En Afrique subsaharienne, la prévalence du VIH chez les adolescentes et les jeunes femmes âgées de 10 à 24</w:t>
      </w:r>
      <w:r w:rsidR="006C1517" w:rsidRPr="007C14AA">
        <w:rPr>
          <w:rFonts w:ascii="Verdana" w:eastAsia="Verdana" w:hAnsi="Verdana" w:cs="Verdana"/>
          <w:sz w:val="20"/>
          <w:szCs w:val="20"/>
          <w:lang w:val="fr-FR"/>
        </w:rPr>
        <w:t> </w:t>
      </w:r>
      <w:r w:rsidR="00F30661" w:rsidRPr="007C14AA">
        <w:rPr>
          <w:rFonts w:ascii="Verdana" w:eastAsia="Verdana" w:hAnsi="Verdana" w:cs="Verdana"/>
          <w:sz w:val="20"/>
          <w:szCs w:val="20"/>
          <w:lang w:val="fr-FR"/>
        </w:rPr>
        <w:t xml:space="preserve">ans est toujours plus de trois fois supérieure à celle </w:t>
      </w:r>
      <w:r w:rsidR="00E21617" w:rsidRPr="007C14AA">
        <w:rPr>
          <w:rFonts w:ascii="Verdana" w:eastAsia="Verdana" w:hAnsi="Verdana" w:cs="Verdana"/>
          <w:sz w:val="20"/>
          <w:szCs w:val="20"/>
          <w:lang w:val="fr-FR"/>
        </w:rPr>
        <w:t>recensée chez</w:t>
      </w:r>
      <w:r w:rsidR="00F30661" w:rsidRPr="007C14AA">
        <w:rPr>
          <w:rFonts w:ascii="Verdana" w:eastAsia="Verdana" w:hAnsi="Verdana" w:cs="Verdana"/>
          <w:sz w:val="20"/>
          <w:szCs w:val="20"/>
          <w:lang w:val="fr-FR"/>
        </w:rPr>
        <w:t xml:space="preserve"> leurs homologues masculins.</w:t>
      </w:r>
      <w:r w:rsidR="002576E5" w:rsidRPr="007C14AA">
        <w:rPr>
          <w:lang w:val="fr-FR"/>
        </w:rPr>
        <w:br/>
      </w:r>
      <w:r w:rsidR="002576E5" w:rsidRPr="007C14AA">
        <w:rPr>
          <w:lang w:val="fr-FR"/>
        </w:rPr>
        <w:br/>
      </w:r>
      <w:r w:rsidR="00FD524A" w:rsidRPr="007C14AA">
        <w:rPr>
          <w:rFonts w:ascii="Verdana" w:eastAsia="Verdana" w:hAnsi="Verdana" w:cs="Verdana"/>
          <w:sz w:val="20"/>
          <w:szCs w:val="20"/>
          <w:lang w:val="fr-FR"/>
        </w:rPr>
        <w:t xml:space="preserve">Les dernières données </w:t>
      </w:r>
      <w:r w:rsidR="0024374B" w:rsidRPr="007C14AA">
        <w:rPr>
          <w:rFonts w:ascii="Verdana" w:eastAsia="Verdana" w:hAnsi="Verdana" w:cs="Verdana"/>
          <w:sz w:val="20"/>
          <w:szCs w:val="20"/>
          <w:lang w:val="fr-FR"/>
        </w:rPr>
        <w:t>révèlent</w:t>
      </w:r>
      <w:r w:rsidR="00FD524A" w:rsidRPr="007C14AA">
        <w:rPr>
          <w:rFonts w:ascii="Verdana" w:eastAsia="Verdana" w:hAnsi="Verdana" w:cs="Verdana"/>
          <w:sz w:val="20"/>
          <w:szCs w:val="20"/>
          <w:lang w:val="fr-FR"/>
        </w:rPr>
        <w:t xml:space="preserve"> qu</w:t>
      </w:r>
      <w:r w:rsidR="00F47FAE" w:rsidRPr="007C14AA">
        <w:rPr>
          <w:rFonts w:ascii="Verdana" w:eastAsia="Verdana" w:hAnsi="Verdana" w:cs="Verdana"/>
          <w:sz w:val="20"/>
          <w:szCs w:val="20"/>
          <w:lang w:val="fr-FR"/>
        </w:rPr>
        <w:t>e c’est</w:t>
      </w:r>
      <w:r w:rsidR="003C0E09" w:rsidRPr="007C14AA">
        <w:rPr>
          <w:rFonts w:ascii="Verdana" w:eastAsia="Verdana" w:hAnsi="Verdana" w:cs="Verdana"/>
          <w:sz w:val="20"/>
          <w:szCs w:val="20"/>
          <w:lang w:val="fr-FR"/>
        </w:rPr>
        <w:t xml:space="preserve"> en</w:t>
      </w:r>
      <w:r w:rsidR="0024374B" w:rsidRPr="007C14AA">
        <w:rPr>
          <w:rFonts w:ascii="Verdana" w:eastAsia="Verdana" w:hAnsi="Verdana" w:cs="Verdana"/>
          <w:sz w:val="20"/>
          <w:szCs w:val="20"/>
          <w:lang w:val="fr-FR"/>
        </w:rPr>
        <w:t xml:space="preserve"> </w:t>
      </w:r>
      <w:r w:rsidR="00FD524A" w:rsidRPr="007C14AA">
        <w:rPr>
          <w:rFonts w:ascii="Verdana" w:eastAsia="Verdana" w:hAnsi="Verdana" w:cs="Verdana"/>
          <w:sz w:val="20"/>
          <w:szCs w:val="20"/>
          <w:lang w:val="fr-FR"/>
        </w:rPr>
        <w:t>Afrique de l</w:t>
      </w:r>
      <w:r w:rsidR="00FD524A" w:rsidRPr="007C14AA">
        <w:rPr>
          <w:rFonts w:ascii="Verdana" w:eastAsia="Verdana" w:hAnsi="Verdana" w:cs="Verdana"/>
          <w:sz w:val="20"/>
          <w:szCs w:val="20"/>
          <w:lang w:val="fr-FR"/>
        </w:rPr>
        <w:t>’</w:t>
      </w:r>
      <w:r w:rsidR="00FD524A" w:rsidRPr="007C14AA">
        <w:rPr>
          <w:rFonts w:ascii="Verdana" w:eastAsia="Verdana" w:hAnsi="Verdana" w:cs="Verdana"/>
          <w:sz w:val="20"/>
          <w:szCs w:val="20"/>
          <w:lang w:val="fr-FR"/>
        </w:rPr>
        <w:t>Est et australe</w:t>
      </w:r>
      <w:r w:rsidR="003C0E09" w:rsidRPr="007C14AA">
        <w:rPr>
          <w:rFonts w:ascii="Verdana" w:eastAsia="Verdana" w:hAnsi="Verdana" w:cs="Verdana"/>
          <w:sz w:val="20"/>
          <w:szCs w:val="20"/>
          <w:lang w:val="fr-FR"/>
        </w:rPr>
        <w:t xml:space="preserve"> que</w:t>
      </w:r>
      <w:r w:rsidR="0024374B" w:rsidRPr="007C14AA">
        <w:rPr>
          <w:rFonts w:ascii="Verdana" w:eastAsia="Verdana" w:hAnsi="Verdana" w:cs="Verdana"/>
          <w:sz w:val="20"/>
          <w:szCs w:val="20"/>
          <w:lang w:val="fr-FR"/>
        </w:rPr>
        <w:t xml:space="preserve"> </w:t>
      </w:r>
      <w:r w:rsidR="0024374B" w:rsidRPr="007C14AA">
        <w:rPr>
          <w:rFonts w:ascii="Verdana" w:eastAsia="Verdana" w:hAnsi="Verdana" w:cs="Verdana"/>
          <w:sz w:val="20"/>
          <w:szCs w:val="20"/>
          <w:lang w:val="fr-FR"/>
        </w:rPr>
        <w:t>la tranche d</w:t>
      </w:r>
      <w:r w:rsidR="00483A80" w:rsidRPr="007C14AA">
        <w:rPr>
          <w:rFonts w:ascii="Verdana" w:eastAsia="Verdana" w:hAnsi="Verdana" w:cs="Verdana"/>
          <w:sz w:val="20"/>
          <w:szCs w:val="20"/>
          <w:lang w:val="fr-FR"/>
        </w:rPr>
        <w:t>’</w:t>
      </w:r>
      <w:r w:rsidR="0024374B" w:rsidRPr="007C14AA">
        <w:rPr>
          <w:rFonts w:ascii="Verdana" w:eastAsia="Verdana" w:hAnsi="Verdana" w:cs="Verdana"/>
          <w:sz w:val="20"/>
          <w:szCs w:val="20"/>
          <w:lang w:val="fr-FR"/>
        </w:rPr>
        <w:t>âge des 0-19</w:t>
      </w:r>
      <w:r w:rsidR="0024374B" w:rsidRPr="007C14AA">
        <w:rPr>
          <w:rFonts w:ascii="Verdana" w:eastAsia="Verdana" w:hAnsi="Verdana" w:cs="Verdana"/>
          <w:sz w:val="20"/>
          <w:szCs w:val="20"/>
          <w:lang w:val="fr-FR"/>
        </w:rPr>
        <w:t> </w:t>
      </w:r>
      <w:r w:rsidR="0024374B" w:rsidRPr="007C14AA">
        <w:rPr>
          <w:rFonts w:ascii="Verdana" w:eastAsia="Verdana" w:hAnsi="Verdana" w:cs="Verdana"/>
          <w:sz w:val="20"/>
          <w:szCs w:val="20"/>
          <w:lang w:val="fr-FR"/>
        </w:rPr>
        <w:t>ans</w:t>
      </w:r>
      <w:r w:rsidR="00FD524A" w:rsidRPr="007C14AA">
        <w:rPr>
          <w:rFonts w:ascii="Verdana" w:eastAsia="Verdana" w:hAnsi="Verdana" w:cs="Verdana"/>
          <w:sz w:val="20"/>
          <w:szCs w:val="20"/>
          <w:lang w:val="fr-FR"/>
        </w:rPr>
        <w:t xml:space="preserve"> continue </w:t>
      </w:r>
      <w:r w:rsidR="00B971A6" w:rsidRPr="007C14AA">
        <w:rPr>
          <w:rFonts w:ascii="Verdana" w:eastAsia="Verdana" w:hAnsi="Verdana" w:cs="Verdana"/>
          <w:sz w:val="20"/>
          <w:szCs w:val="20"/>
          <w:lang w:val="fr-FR"/>
        </w:rPr>
        <w:t>d’être la plus touchée par</w:t>
      </w:r>
      <w:r w:rsidR="00FD524A" w:rsidRPr="007C14AA">
        <w:rPr>
          <w:rFonts w:ascii="Verdana" w:eastAsia="Verdana" w:hAnsi="Verdana" w:cs="Verdana"/>
          <w:sz w:val="20"/>
          <w:szCs w:val="20"/>
          <w:lang w:val="fr-FR"/>
        </w:rPr>
        <w:t xml:space="preserve"> le VIH, </w:t>
      </w:r>
      <w:r w:rsidR="00225149" w:rsidRPr="007C14AA">
        <w:rPr>
          <w:rFonts w:ascii="Verdana" w:eastAsia="Verdana" w:hAnsi="Verdana" w:cs="Verdana"/>
          <w:sz w:val="20"/>
          <w:szCs w:val="20"/>
          <w:lang w:val="fr-FR"/>
        </w:rPr>
        <w:t>devant</w:t>
      </w:r>
      <w:r w:rsidR="00FD524A" w:rsidRPr="007C14AA">
        <w:rPr>
          <w:rFonts w:ascii="Verdana" w:eastAsia="Verdana" w:hAnsi="Verdana" w:cs="Verdana"/>
          <w:sz w:val="20"/>
          <w:szCs w:val="20"/>
          <w:lang w:val="fr-FR"/>
        </w:rPr>
        <w:t xml:space="preserve"> l</w:t>
      </w:r>
      <w:r w:rsidR="00B453C6" w:rsidRPr="007C14AA">
        <w:rPr>
          <w:rFonts w:ascii="Verdana" w:eastAsia="Verdana" w:hAnsi="Verdana" w:cs="Verdana"/>
          <w:sz w:val="20"/>
          <w:szCs w:val="20"/>
          <w:lang w:val="fr-FR"/>
        </w:rPr>
        <w:t>es régions d’</w:t>
      </w:r>
      <w:r w:rsidR="00FD524A" w:rsidRPr="007C14AA">
        <w:rPr>
          <w:rFonts w:ascii="Verdana" w:eastAsia="Verdana" w:hAnsi="Verdana" w:cs="Verdana"/>
          <w:sz w:val="20"/>
          <w:szCs w:val="20"/>
          <w:lang w:val="fr-FR"/>
        </w:rPr>
        <w:t>Afrique de l</w:t>
      </w:r>
      <w:r w:rsidR="003C0E09" w:rsidRPr="007C14AA">
        <w:rPr>
          <w:rFonts w:ascii="Verdana" w:eastAsia="Verdana" w:hAnsi="Verdana" w:cs="Verdana"/>
          <w:sz w:val="20"/>
          <w:szCs w:val="20"/>
          <w:lang w:val="fr-FR"/>
        </w:rPr>
        <w:t>’</w:t>
      </w:r>
      <w:r w:rsidR="00FD524A" w:rsidRPr="007C14AA">
        <w:rPr>
          <w:rFonts w:ascii="Verdana" w:eastAsia="Verdana" w:hAnsi="Verdana" w:cs="Verdana"/>
          <w:sz w:val="20"/>
          <w:szCs w:val="20"/>
          <w:lang w:val="fr-FR"/>
        </w:rPr>
        <w:t xml:space="preserve">Ouest et centrale, </w:t>
      </w:r>
      <w:r w:rsidR="00B453C6" w:rsidRPr="007C14AA">
        <w:rPr>
          <w:rFonts w:ascii="Verdana" w:eastAsia="Verdana" w:hAnsi="Verdana" w:cs="Verdana"/>
          <w:sz w:val="20"/>
          <w:szCs w:val="20"/>
          <w:lang w:val="fr-FR"/>
        </w:rPr>
        <w:t>d</w:t>
      </w:r>
      <w:r w:rsidR="003C0E09" w:rsidRPr="007C14AA">
        <w:rPr>
          <w:rFonts w:ascii="Verdana" w:eastAsia="Verdana" w:hAnsi="Verdana" w:cs="Verdana"/>
          <w:sz w:val="20"/>
          <w:szCs w:val="20"/>
          <w:lang w:val="fr-FR"/>
        </w:rPr>
        <w:t>’</w:t>
      </w:r>
      <w:r w:rsidR="00FD524A" w:rsidRPr="007C14AA">
        <w:rPr>
          <w:rFonts w:ascii="Verdana" w:eastAsia="Verdana" w:hAnsi="Verdana" w:cs="Verdana"/>
          <w:sz w:val="20"/>
          <w:szCs w:val="20"/>
          <w:lang w:val="fr-FR"/>
        </w:rPr>
        <w:t>Asie de l</w:t>
      </w:r>
      <w:r w:rsidR="003C0E09" w:rsidRPr="007C14AA">
        <w:rPr>
          <w:rFonts w:ascii="Verdana" w:eastAsia="Verdana" w:hAnsi="Verdana" w:cs="Verdana"/>
          <w:sz w:val="20"/>
          <w:szCs w:val="20"/>
          <w:lang w:val="fr-FR"/>
        </w:rPr>
        <w:t>’</w:t>
      </w:r>
      <w:r w:rsidR="00FD524A" w:rsidRPr="007C14AA">
        <w:rPr>
          <w:rFonts w:ascii="Verdana" w:eastAsia="Verdana" w:hAnsi="Verdana" w:cs="Verdana"/>
          <w:sz w:val="20"/>
          <w:szCs w:val="20"/>
          <w:lang w:val="fr-FR"/>
        </w:rPr>
        <w:t xml:space="preserve">Est et </w:t>
      </w:r>
      <w:r w:rsidR="00B453C6" w:rsidRPr="007C14AA">
        <w:rPr>
          <w:rFonts w:ascii="Verdana" w:eastAsia="Verdana" w:hAnsi="Verdana" w:cs="Verdana"/>
          <w:sz w:val="20"/>
          <w:szCs w:val="20"/>
          <w:lang w:val="fr-FR"/>
        </w:rPr>
        <w:t>du</w:t>
      </w:r>
      <w:r w:rsidR="00FD524A" w:rsidRPr="007C14AA">
        <w:rPr>
          <w:rFonts w:ascii="Verdana" w:eastAsia="Verdana" w:hAnsi="Verdana" w:cs="Verdana"/>
          <w:sz w:val="20"/>
          <w:szCs w:val="20"/>
          <w:lang w:val="fr-FR"/>
        </w:rPr>
        <w:t xml:space="preserve"> Pacifique, </w:t>
      </w:r>
      <w:r w:rsidR="00B453C6" w:rsidRPr="007C14AA">
        <w:rPr>
          <w:rFonts w:ascii="Verdana" w:eastAsia="Verdana" w:hAnsi="Verdana" w:cs="Verdana"/>
          <w:sz w:val="20"/>
          <w:szCs w:val="20"/>
          <w:lang w:val="fr-FR"/>
        </w:rPr>
        <w:t>d</w:t>
      </w:r>
      <w:r w:rsidR="00A43597" w:rsidRPr="007C14AA">
        <w:rPr>
          <w:rFonts w:ascii="Verdana" w:eastAsia="Verdana" w:hAnsi="Verdana" w:cs="Verdana"/>
          <w:sz w:val="20"/>
          <w:szCs w:val="20"/>
          <w:lang w:val="fr-FR"/>
        </w:rPr>
        <w:t>’</w:t>
      </w:r>
      <w:r w:rsidR="00FD524A" w:rsidRPr="007C14AA">
        <w:rPr>
          <w:rFonts w:ascii="Verdana" w:eastAsia="Verdana" w:hAnsi="Verdana" w:cs="Verdana"/>
          <w:sz w:val="20"/>
          <w:szCs w:val="20"/>
          <w:lang w:val="fr-FR"/>
        </w:rPr>
        <w:t xml:space="preserve">Amérique latine et </w:t>
      </w:r>
      <w:r w:rsidR="00B453C6" w:rsidRPr="007C14AA">
        <w:rPr>
          <w:rFonts w:ascii="Verdana" w:eastAsia="Verdana" w:hAnsi="Verdana" w:cs="Verdana"/>
          <w:sz w:val="20"/>
          <w:szCs w:val="20"/>
          <w:lang w:val="fr-FR"/>
        </w:rPr>
        <w:t>d</w:t>
      </w:r>
      <w:r w:rsidR="00FD524A" w:rsidRPr="007C14AA">
        <w:rPr>
          <w:rFonts w:ascii="Verdana" w:eastAsia="Verdana" w:hAnsi="Verdana" w:cs="Verdana"/>
          <w:sz w:val="20"/>
          <w:szCs w:val="20"/>
          <w:lang w:val="fr-FR"/>
        </w:rPr>
        <w:t>es Caraïbes</w:t>
      </w:r>
      <w:r w:rsidR="00526885" w:rsidRPr="007C14AA">
        <w:rPr>
          <w:rFonts w:ascii="Verdana" w:eastAsia="Verdana" w:hAnsi="Verdana" w:cs="Verdana"/>
          <w:sz w:val="20"/>
          <w:szCs w:val="20"/>
          <w:lang w:val="fr-FR"/>
        </w:rPr>
        <w:t>,</w:t>
      </w:r>
      <w:r w:rsidR="00FD524A" w:rsidRPr="007C14AA">
        <w:rPr>
          <w:rFonts w:ascii="Verdana" w:eastAsia="Verdana" w:hAnsi="Verdana" w:cs="Verdana"/>
          <w:sz w:val="20"/>
          <w:szCs w:val="20"/>
          <w:lang w:val="fr-FR"/>
        </w:rPr>
        <w:t xml:space="preserve"> et </w:t>
      </w:r>
      <w:r w:rsidR="00B453C6" w:rsidRPr="007C14AA">
        <w:rPr>
          <w:rFonts w:ascii="Verdana" w:eastAsia="Verdana" w:hAnsi="Verdana" w:cs="Verdana"/>
          <w:sz w:val="20"/>
          <w:szCs w:val="20"/>
          <w:lang w:val="fr-FR"/>
        </w:rPr>
        <w:t>d’</w:t>
      </w:r>
      <w:r w:rsidR="00FD524A" w:rsidRPr="007C14AA">
        <w:rPr>
          <w:rFonts w:ascii="Verdana" w:eastAsia="Verdana" w:hAnsi="Verdana" w:cs="Verdana"/>
          <w:sz w:val="20"/>
          <w:szCs w:val="20"/>
          <w:lang w:val="fr-FR"/>
        </w:rPr>
        <w:t>Asie du Sud.</w:t>
      </w:r>
      <w:r w:rsidR="002576E5" w:rsidRPr="007C14AA">
        <w:rPr>
          <w:lang w:val="fr-FR"/>
        </w:rPr>
        <w:br/>
      </w:r>
    </w:p>
    <w:p w14:paraId="00DD42C7" w14:textId="69EE4CC2" w:rsidR="002576E5" w:rsidRPr="007C14AA" w:rsidRDefault="002D3C65" w:rsidP="002576E5">
      <w:pPr>
        <w:spacing w:after="0" w:line="240" w:lineRule="auto"/>
        <w:rPr>
          <w:rFonts w:ascii="Verdana" w:eastAsia="Verdana" w:hAnsi="Verdana" w:cs="Verdana"/>
          <w:sz w:val="20"/>
          <w:szCs w:val="20"/>
          <w:lang w:val="fr-FR"/>
        </w:rPr>
      </w:pPr>
      <w:r w:rsidRPr="007C14AA">
        <w:rPr>
          <w:rFonts w:ascii="Verdana" w:eastAsia="Verdana" w:hAnsi="Verdana" w:cs="Verdana"/>
          <w:sz w:val="20"/>
          <w:szCs w:val="20"/>
          <w:lang w:val="fr-FR"/>
        </w:rPr>
        <w:lastRenderedPageBreak/>
        <w:t xml:space="preserve">Le </w:t>
      </w:r>
      <w:r w:rsidRPr="007C14AA">
        <w:rPr>
          <w:rFonts w:ascii="Verdana" w:eastAsia="Verdana" w:hAnsi="Verdana" w:cs="Verdana"/>
          <w:sz w:val="20"/>
          <w:szCs w:val="20"/>
          <w:lang w:val="fr-FR"/>
        </w:rPr>
        <w:t>rapport</w:t>
      </w:r>
      <w:r w:rsidRPr="007C14AA">
        <w:rPr>
          <w:rFonts w:ascii="Verdana" w:eastAsia="Verdana" w:hAnsi="Verdana" w:cs="Verdana"/>
          <w:sz w:val="20"/>
          <w:szCs w:val="20"/>
          <w:lang w:val="fr-FR"/>
        </w:rPr>
        <w:t xml:space="preserve"> souligne en outre que les enfants et les jeunes adolescents sont confrontés à des inégalités considérables en matière d</w:t>
      </w:r>
      <w:r w:rsidRPr="007C14AA">
        <w:rPr>
          <w:rFonts w:ascii="Verdana" w:eastAsia="Verdana" w:hAnsi="Verdana" w:cs="Verdana"/>
          <w:sz w:val="20"/>
          <w:szCs w:val="20"/>
          <w:lang w:val="fr-FR"/>
        </w:rPr>
        <w:t>’</w:t>
      </w:r>
      <w:r w:rsidRPr="007C14AA">
        <w:rPr>
          <w:rFonts w:ascii="Verdana" w:eastAsia="Verdana" w:hAnsi="Verdana" w:cs="Verdana"/>
          <w:sz w:val="20"/>
          <w:szCs w:val="20"/>
          <w:lang w:val="fr-FR"/>
        </w:rPr>
        <w:t xml:space="preserve">accès au traitement par rapport aux adultes. </w:t>
      </w:r>
      <w:r w:rsidR="00B83015" w:rsidRPr="007C14AA">
        <w:rPr>
          <w:rFonts w:ascii="Verdana" w:eastAsia="Verdana" w:hAnsi="Verdana" w:cs="Verdana"/>
          <w:sz w:val="20"/>
          <w:szCs w:val="20"/>
          <w:lang w:val="fr-FR"/>
        </w:rPr>
        <w:t>En effet,</w:t>
      </w:r>
      <w:r w:rsidR="00B1017C" w:rsidRPr="007C14AA">
        <w:rPr>
          <w:rFonts w:ascii="Verdana" w:eastAsia="Verdana" w:hAnsi="Verdana" w:cs="Verdana"/>
          <w:sz w:val="20"/>
          <w:szCs w:val="20"/>
          <w:lang w:val="fr-FR"/>
        </w:rPr>
        <w:t xml:space="preserve"> </w:t>
      </w:r>
      <w:r w:rsidR="002621F1" w:rsidRPr="007C14AA">
        <w:rPr>
          <w:rFonts w:ascii="Verdana" w:eastAsia="Verdana" w:hAnsi="Verdana" w:cs="Verdana"/>
          <w:sz w:val="20"/>
          <w:szCs w:val="20"/>
          <w:lang w:val="fr-FR"/>
        </w:rPr>
        <w:t>dans le monde</w:t>
      </w:r>
      <w:r w:rsidR="002621F1" w:rsidRPr="007C14AA">
        <w:rPr>
          <w:rFonts w:ascii="Verdana" w:eastAsia="Verdana" w:hAnsi="Verdana" w:cs="Verdana"/>
          <w:sz w:val="20"/>
          <w:szCs w:val="20"/>
          <w:lang w:val="fr-FR"/>
        </w:rPr>
        <w:t>,</w:t>
      </w:r>
      <w:r w:rsidR="002621F1" w:rsidRPr="007C14AA">
        <w:rPr>
          <w:rFonts w:ascii="Verdana" w:eastAsia="Verdana" w:hAnsi="Verdana" w:cs="Verdana"/>
          <w:sz w:val="20"/>
          <w:szCs w:val="20"/>
          <w:lang w:val="fr-FR"/>
        </w:rPr>
        <w:t xml:space="preserve"> </w:t>
      </w:r>
      <w:r w:rsidRPr="007C14AA">
        <w:rPr>
          <w:rFonts w:ascii="Verdana" w:eastAsia="Verdana" w:hAnsi="Verdana" w:cs="Verdana"/>
          <w:sz w:val="20"/>
          <w:szCs w:val="20"/>
          <w:lang w:val="fr-FR"/>
        </w:rPr>
        <w:t>près d</w:t>
      </w:r>
      <w:r w:rsidR="00440DA9" w:rsidRPr="007C14AA">
        <w:rPr>
          <w:rFonts w:ascii="Verdana" w:eastAsia="Verdana" w:hAnsi="Verdana" w:cs="Verdana"/>
          <w:sz w:val="20"/>
          <w:szCs w:val="20"/>
          <w:lang w:val="fr-FR"/>
        </w:rPr>
        <w:t>’</w:t>
      </w:r>
      <w:r w:rsidRPr="007C14AA">
        <w:rPr>
          <w:rFonts w:ascii="Verdana" w:eastAsia="Verdana" w:hAnsi="Verdana" w:cs="Verdana"/>
          <w:sz w:val="20"/>
          <w:szCs w:val="20"/>
          <w:lang w:val="fr-FR"/>
        </w:rPr>
        <w:t xml:space="preserve">un million de personnes </w:t>
      </w:r>
      <w:r w:rsidR="00EA5097" w:rsidRPr="007C14AA">
        <w:rPr>
          <w:rFonts w:ascii="Verdana" w:eastAsia="Verdana" w:hAnsi="Verdana" w:cs="Verdana"/>
          <w:sz w:val="20"/>
          <w:szCs w:val="20"/>
          <w:lang w:val="fr-FR"/>
        </w:rPr>
        <w:t xml:space="preserve">séropositives </w:t>
      </w:r>
      <w:r w:rsidRPr="007C14AA">
        <w:rPr>
          <w:rFonts w:ascii="Verdana" w:eastAsia="Verdana" w:hAnsi="Verdana" w:cs="Verdana"/>
          <w:sz w:val="20"/>
          <w:szCs w:val="20"/>
          <w:lang w:val="fr-FR"/>
        </w:rPr>
        <w:t>âgées de 0 à 19</w:t>
      </w:r>
      <w:r w:rsidR="00440DA9" w:rsidRPr="007C14AA">
        <w:rPr>
          <w:rFonts w:ascii="Verdana" w:eastAsia="Verdana" w:hAnsi="Verdana" w:cs="Verdana"/>
          <w:sz w:val="20"/>
          <w:szCs w:val="20"/>
          <w:lang w:val="fr-FR"/>
        </w:rPr>
        <w:t> </w:t>
      </w:r>
      <w:r w:rsidRPr="007C14AA">
        <w:rPr>
          <w:rFonts w:ascii="Verdana" w:eastAsia="Verdana" w:hAnsi="Verdana" w:cs="Verdana"/>
          <w:sz w:val="20"/>
          <w:szCs w:val="20"/>
          <w:lang w:val="fr-FR"/>
        </w:rPr>
        <w:t>ans ne reçoivent pas de traitement</w:t>
      </w:r>
      <w:r w:rsidR="00D9450E" w:rsidRPr="007C14AA">
        <w:rPr>
          <w:rFonts w:ascii="Verdana" w:eastAsia="Verdana" w:hAnsi="Verdana" w:cs="Verdana"/>
          <w:sz w:val="20"/>
          <w:szCs w:val="20"/>
          <w:lang w:val="fr-FR"/>
        </w:rPr>
        <w:t xml:space="preserve">, </w:t>
      </w:r>
      <w:r w:rsidRPr="007C14AA">
        <w:rPr>
          <w:rFonts w:ascii="Verdana" w:eastAsia="Verdana" w:hAnsi="Verdana" w:cs="Verdana"/>
          <w:sz w:val="20"/>
          <w:szCs w:val="20"/>
          <w:lang w:val="fr-FR"/>
        </w:rPr>
        <w:t xml:space="preserve">plus de la moitié </w:t>
      </w:r>
      <w:r w:rsidR="009843A3" w:rsidRPr="007C14AA">
        <w:rPr>
          <w:rFonts w:ascii="Verdana" w:eastAsia="Verdana" w:hAnsi="Verdana" w:cs="Verdana"/>
          <w:sz w:val="20"/>
          <w:szCs w:val="20"/>
          <w:lang w:val="fr-FR"/>
        </w:rPr>
        <w:t>d’entre elles</w:t>
      </w:r>
      <w:r w:rsidRPr="007C14AA">
        <w:rPr>
          <w:rFonts w:ascii="Verdana" w:eastAsia="Verdana" w:hAnsi="Verdana" w:cs="Verdana"/>
          <w:sz w:val="20"/>
          <w:szCs w:val="20"/>
          <w:lang w:val="fr-FR"/>
        </w:rPr>
        <w:t xml:space="preserve"> </w:t>
      </w:r>
      <w:r w:rsidR="00796B05" w:rsidRPr="007C14AA">
        <w:rPr>
          <w:rFonts w:ascii="Verdana" w:eastAsia="Verdana" w:hAnsi="Verdana" w:cs="Verdana"/>
          <w:sz w:val="20"/>
          <w:szCs w:val="20"/>
          <w:lang w:val="fr-FR"/>
        </w:rPr>
        <w:t>(</w:t>
      </w:r>
      <w:r w:rsidRPr="007C14AA">
        <w:rPr>
          <w:rFonts w:ascii="Verdana" w:eastAsia="Verdana" w:hAnsi="Verdana" w:cs="Verdana"/>
          <w:sz w:val="20"/>
          <w:szCs w:val="20"/>
          <w:lang w:val="fr-FR"/>
        </w:rPr>
        <w:t>environ 60</w:t>
      </w:r>
      <w:r w:rsidR="00B1017C" w:rsidRPr="007C14AA">
        <w:rPr>
          <w:rFonts w:ascii="Verdana" w:eastAsia="Verdana" w:hAnsi="Verdana" w:cs="Verdana"/>
          <w:sz w:val="20"/>
          <w:szCs w:val="20"/>
          <w:lang w:val="fr-FR"/>
        </w:rPr>
        <w:t> </w:t>
      </w:r>
      <w:r w:rsidRPr="007C14AA">
        <w:rPr>
          <w:rFonts w:ascii="Verdana" w:eastAsia="Verdana" w:hAnsi="Verdana" w:cs="Verdana"/>
          <w:sz w:val="20"/>
          <w:szCs w:val="20"/>
          <w:lang w:val="fr-FR"/>
        </w:rPr>
        <w:t>%</w:t>
      </w:r>
      <w:r w:rsidR="00796B05" w:rsidRPr="007C14AA">
        <w:rPr>
          <w:rFonts w:ascii="Verdana" w:eastAsia="Verdana" w:hAnsi="Verdana" w:cs="Verdana"/>
          <w:sz w:val="20"/>
          <w:szCs w:val="20"/>
          <w:lang w:val="fr-FR"/>
        </w:rPr>
        <w:t>)</w:t>
      </w:r>
      <w:r w:rsidRPr="007C14AA">
        <w:rPr>
          <w:rFonts w:ascii="Verdana" w:eastAsia="Verdana" w:hAnsi="Verdana" w:cs="Verdana"/>
          <w:sz w:val="20"/>
          <w:szCs w:val="20"/>
          <w:lang w:val="fr-FR"/>
        </w:rPr>
        <w:t xml:space="preserve"> se trouv</w:t>
      </w:r>
      <w:r w:rsidR="00060FEB" w:rsidRPr="007C14AA">
        <w:rPr>
          <w:rFonts w:ascii="Verdana" w:eastAsia="Verdana" w:hAnsi="Verdana" w:cs="Verdana"/>
          <w:sz w:val="20"/>
          <w:szCs w:val="20"/>
          <w:lang w:val="fr-FR"/>
        </w:rPr>
        <w:t>ant</w:t>
      </w:r>
      <w:r w:rsidRPr="007C14AA">
        <w:rPr>
          <w:rFonts w:ascii="Verdana" w:eastAsia="Verdana" w:hAnsi="Verdana" w:cs="Verdana"/>
          <w:sz w:val="20"/>
          <w:szCs w:val="20"/>
          <w:lang w:val="fr-FR"/>
        </w:rPr>
        <w:t xml:space="preserve"> en Afrique de l</w:t>
      </w:r>
      <w:r w:rsidR="00270B7C" w:rsidRPr="007C14AA">
        <w:rPr>
          <w:rFonts w:ascii="Verdana" w:eastAsia="Verdana" w:hAnsi="Verdana" w:cs="Verdana"/>
          <w:sz w:val="20"/>
          <w:szCs w:val="20"/>
          <w:lang w:val="fr-FR"/>
        </w:rPr>
        <w:t>’</w:t>
      </w:r>
      <w:r w:rsidRPr="007C14AA">
        <w:rPr>
          <w:rFonts w:ascii="Verdana" w:eastAsia="Verdana" w:hAnsi="Verdana" w:cs="Verdana"/>
          <w:sz w:val="20"/>
          <w:szCs w:val="20"/>
          <w:lang w:val="fr-FR"/>
        </w:rPr>
        <w:t>Est et australe.</w:t>
      </w:r>
    </w:p>
    <w:p w14:paraId="627D733F" w14:textId="77777777" w:rsidR="004801B7" w:rsidRPr="007C14AA" w:rsidRDefault="004801B7" w:rsidP="002576E5">
      <w:pPr>
        <w:spacing w:after="0" w:line="240" w:lineRule="auto"/>
        <w:rPr>
          <w:rFonts w:ascii="Verdana" w:eastAsia="Verdana" w:hAnsi="Verdana" w:cs="Verdana"/>
          <w:sz w:val="20"/>
          <w:szCs w:val="20"/>
          <w:lang w:val="fr-FR"/>
        </w:rPr>
      </w:pPr>
    </w:p>
    <w:p w14:paraId="2690D996" w14:textId="0E01BD80" w:rsidR="00060FEB" w:rsidRPr="007C14AA" w:rsidRDefault="00060FEB" w:rsidP="002576E5">
      <w:pPr>
        <w:spacing w:after="0" w:line="240" w:lineRule="auto"/>
        <w:rPr>
          <w:rFonts w:ascii="Verdana" w:eastAsia="Verdana" w:hAnsi="Verdana" w:cs="Verdana"/>
          <w:sz w:val="20"/>
          <w:szCs w:val="20"/>
          <w:lang w:val="fr-FR"/>
        </w:rPr>
      </w:pPr>
      <w:r w:rsidRPr="007C14AA">
        <w:rPr>
          <w:rFonts w:ascii="Verdana" w:eastAsia="Verdana" w:hAnsi="Verdana" w:cs="Verdana"/>
          <w:sz w:val="20"/>
          <w:szCs w:val="20"/>
          <w:lang w:val="fr-FR"/>
        </w:rPr>
        <w:t xml:space="preserve">La lourdeur des processus </w:t>
      </w:r>
      <w:r w:rsidR="00545890" w:rsidRPr="007C14AA">
        <w:rPr>
          <w:rFonts w:ascii="Verdana" w:eastAsia="Verdana" w:hAnsi="Verdana" w:cs="Verdana"/>
          <w:sz w:val="20"/>
          <w:szCs w:val="20"/>
          <w:lang w:val="fr-FR"/>
        </w:rPr>
        <w:t xml:space="preserve">de </w:t>
      </w:r>
      <w:r w:rsidRPr="007C14AA">
        <w:rPr>
          <w:rFonts w:ascii="Verdana" w:eastAsia="Verdana" w:hAnsi="Verdana" w:cs="Verdana"/>
          <w:sz w:val="20"/>
          <w:szCs w:val="20"/>
          <w:lang w:val="fr-FR"/>
        </w:rPr>
        <w:t>diagnosti</w:t>
      </w:r>
      <w:r w:rsidR="00545890" w:rsidRPr="007C14AA">
        <w:rPr>
          <w:rFonts w:ascii="Verdana" w:eastAsia="Verdana" w:hAnsi="Verdana" w:cs="Verdana"/>
          <w:sz w:val="20"/>
          <w:szCs w:val="20"/>
          <w:lang w:val="fr-FR"/>
        </w:rPr>
        <w:t>c</w:t>
      </w:r>
      <w:r w:rsidRPr="007C14AA">
        <w:rPr>
          <w:rFonts w:ascii="Verdana" w:eastAsia="Verdana" w:hAnsi="Verdana" w:cs="Verdana"/>
          <w:sz w:val="20"/>
          <w:szCs w:val="20"/>
          <w:lang w:val="fr-FR"/>
        </w:rPr>
        <w:t xml:space="preserve"> </w:t>
      </w:r>
      <w:r w:rsidR="001703F2" w:rsidRPr="007C14AA">
        <w:rPr>
          <w:rFonts w:ascii="Verdana" w:eastAsia="Verdana" w:hAnsi="Verdana" w:cs="Verdana"/>
          <w:sz w:val="20"/>
          <w:szCs w:val="20"/>
          <w:lang w:val="fr-FR"/>
        </w:rPr>
        <w:t>chez</w:t>
      </w:r>
      <w:r w:rsidRPr="007C14AA">
        <w:rPr>
          <w:rFonts w:ascii="Verdana" w:eastAsia="Verdana" w:hAnsi="Verdana" w:cs="Verdana"/>
          <w:sz w:val="20"/>
          <w:szCs w:val="20"/>
          <w:lang w:val="fr-FR"/>
        </w:rPr>
        <w:t xml:space="preserve"> les enfants, les </w:t>
      </w:r>
      <w:r w:rsidR="00BA1A6C" w:rsidRPr="007C14AA">
        <w:rPr>
          <w:rFonts w:ascii="Verdana" w:eastAsia="Verdana" w:hAnsi="Verdana" w:cs="Verdana"/>
          <w:sz w:val="20"/>
          <w:szCs w:val="20"/>
          <w:lang w:val="fr-FR"/>
        </w:rPr>
        <w:t>procédures</w:t>
      </w:r>
      <w:r w:rsidRPr="007C14AA">
        <w:rPr>
          <w:rFonts w:ascii="Verdana" w:eastAsia="Verdana" w:hAnsi="Verdana" w:cs="Verdana"/>
          <w:sz w:val="20"/>
          <w:szCs w:val="20"/>
          <w:lang w:val="fr-FR"/>
        </w:rPr>
        <w:t xml:space="preserve"> </w:t>
      </w:r>
      <w:r w:rsidR="00586507" w:rsidRPr="007C14AA">
        <w:rPr>
          <w:rFonts w:ascii="Verdana" w:eastAsia="Verdana" w:hAnsi="Verdana" w:cs="Verdana"/>
          <w:sz w:val="20"/>
          <w:szCs w:val="20"/>
          <w:lang w:val="fr-FR"/>
        </w:rPr>
        <w:t>particulières</w:t>
      </w:r>
      <w:r w:rsidRPr="007C14AA">
        <w:rPr>
          <w:rFonts w:ascii="Verdana" w:eastAsia="Verdana" w:hAnsi="Verdana" w:cs="Verdana"/>
          <w:sz w:val="20"/>
          <w:szCs w:val="20"/>
          <w:lang w:val="fr-FR"/>
        </w:rPr>
        <w:t xml:space="preserve"> en matière de </w:t>
      </w:r>
      <w:r w:rsidR="00586507" w:rsidRPr="007C14AA">
        <w:rPr>
          <w:rFonts w:ascii="Verdana" w:eastAsia="Verdana" w:hAnsi="Verdana" w:cs="Verdana"/>
          <w:sz w:val="20"/>
          <w:szCs w:val="20"/>
          <w:lang w:val="fr-FR"/>
        </w:rPr>
        <w:t>dépistage</w:t>
      </w:r>
      <w:r w:rsidRPr="007C14AA">
        <w:rPr>
          <w:rFonts w:ascii="Verdana" w:eastAsia="Verdana" w:hAnsi="Verdana" w:cs="Verdana"/>
          <w:sz w:val="20"/>
          <w:szCs w:val="20"/>
          <w:lang w:val="fr-FR"/>
        </w:rPr>
        <w:t xml:space="preserve"> </w:t>
      </w:r>
      <w:r w:rsidR="00586507" w:rsidRPr="007C14AA">
        <w:rPr>
          <w:rFonts w:ascii="Verdana" w:eastAsia="Verdana" w:hAnsi="Verdana" w:cs="Verdana"/>
          <w:sz w:val="20"/>
          <w:szCs w:val="20"/>
          <w:lang w:val="fr-FR"/>
        </w:rPr>
        <w:t>chez</w:t>
      </w:r>
      <w:r w:rsidRPr="007C14AA">
        <w:rPr>
          <w:rFonts w:ascii="Verdana" w:eastAsia="Verdana" w:hAnsi="Verdana" w:cs="Verdana"/>
          <w:sz w:val="20"/>
          <w:szCs w:val="20"/>
          <w:lang w:val="fr-FR"/>
        </w:rPr>
        <w:t xml:space="preserve"> les nourrissons</w:t>
      </w:r>
      <w:r w:rsidR="00C3609F" w:rsidRPr="007C14AA">
        <w:rPr>
          <w:rFonts w:ascii="Verdana" w:eastAsia="Verdana" w:hAnsi="Verdana" w:cs="Verdana"/>
          <w:sz w:val="20"/>
          <w:szCs w:val="20"/>
          <w:lang w:val="fr-FR"/>
        </w:rPr>
        <w:t>,</w:t>
      </w:r>
      <w:r w:rsidRPr="007C14AA">
        <w:rPr>
          <w:rFonts w:ascii="Verdana" w:eastAsia="Verdana" w:hAnsi="Verdana" w:cs="Verdana"/>
          <w:sz w:val="20"/>
          <w:szCs w:val="20"/>
          <w:lang w:val="fr-FR"/>
        </w:rPr>
        <w:t xml:space="preserve"> </w:t>
      </w:r>
      <w:r w:rsidR="00C3609F" w:rsidRPr="007C14AA">
        <w:rPr>
          <w:rFonts w:ascii="Verdana" w:eastAsia="Verdana" w:hAnsi="Verdana" w:cs="Verdana"/>
          <w:sz w:val="20"/>
          <w:szCs w:val="20"/>
          <w:lang w:val="fr-FR"/>
        </w:rPr>
        <w:t>lesquelles</w:t>
      </w:r>
      <w:r w:rsidRPr="007C14AA">
        <w:rPr>
          <w:rFonts w:ascii="Verdana" w:eastAsia="Verdana" w:hAnsi="Verdana" w:cs="Verdana"/>
          <w:sz w:val="20"/>
          <w:szCs w:val="20"/>
          <w:lang w:val="fr-FR"/>
        </w:rPr>
        <w:t xml:space="preserve"> ne sont pas toujours disponibles dans les pays à revenu faible</w:t>
      </w:r>
      <w:r w:rsidR="00AC77CF" w:rsidRPr="007C14AA">
        <w:rPr>
          <w:rFonts w:ascii="Verdana" w:eastAsia="Verdana" w:hAnsi="Verdana" w:cs="Verdana"/>
          <w:sz w:val="20"/>
          <w:szCs w:val="20"/>
          <w:lang w:val="fr-FR"/>
        </w:rPr>
        <w:t xml:space="preserve"> et intermédiaire</w:t>
      </w:r>
      <w:r w:rsidRPr="007C14AA">
        <w:rPr>
          <w:rFonts w:ascii="Verdana" w:eastAsia="Verdana" w:hAnsi="Verdana" w:cs="Verdana"/>
          <w:sz w:val="20"/>
          <w:szCs w:val="20"/>
          <w:lang w:val="fr-FR"/>
        </w:rPr>
        <w:t xml:space="preserve">, et le manque de médicaments antirétroviraux adaptés </w:t>
      </w:r>
      <w:r w:rsidR="00796B05" w:rsidRPr="007C14AA">
        <w:rPr>
          <w:rFonts w:ascii="Verdana" w:eastAsia="Verdana" w:hAnsi="Verdana" w:cs="Verdana"/>
          <w:sz w:val="20"/>
          <w:szCs w:val="20"/>
          <w:lang w:val="fr-FR"/>
        </w:rPr>
        <w:t>aux</w:t>
      </w:r>
      <w:r w:rsidRPr="007C14AA">
        <w:rPr>
          <w:rFonts w:ascii="Verdana" w:eastAsia="Verdana" w:hAnsi="Verdana" w:cs="Verdana"/>
          <w:sz w:val="20"/>
          <w:szCs w:val="20"/>
          <w:lang w:val="fr-FR"/>
        </w:rPr>
        <w:t xml:space="preserve"> groupes d</w:t>
      </w:r>
      <w:r w:rsidR="00796B05" w:rsidRPr="007C14AA">
        <w:rPr>
          <w:rFonts w:ascii="Verdana" w:eastAsia="Verdana" w:hAnsi="Verdana" w:cs="Verdana"/>
          <w:sz w:val="20"/>
          <w:szCs w:val="20"/>
          <w:lang w:val="fr-FR"/>
        </w:rPr>
        <w:t>’</w:t>
      </w:r>
      <w:r w:rsidRPr="007C14AA">
        <w:rPr>
          <w:rFonts w:ascii="Verdana" w:eastAsia="Verdana" w:hAnsi="Verdana" w:cs="Verdana"/>
          <w:sz w:val="20"/>
          <w:szCs w:val="20"/>
          <w:lang w:val="fr-FR"/>
        </w:rPr>
        <w:t>âge plus jeunes sont autant de raisons qui expliquent que seuls 57</w:t>
      </w:r>
      <w:r w:rsidR="007D5B61" w:rsidRPr="007C14AA">
        <w:rPr>
          <w:rFonts w:ascii="Verdana" w:eastAsia="Verdana" w:hAnsi="Verdana" w:cs="Verdana"/>
          <w:sz w:val="20"/>
          <w:szCs w:val="20"/>
          <w:lang w:val="fr-FR"/>
        </w:rPr>
        <w:t> </w:t>
      </w:r>
      <w:r w:rsidRPr="007C14AA">
        <w:rPr>
          <w:rFonts w:ascii="Verdana" w:eastAsia="Verdana" w:hAnsi="Verdana" w:cs="Verdana"/>
          <w:sz w:val="20"/>
          <w:szCs w:val="20"/>
          <w:lang w:val="fr-FR"/>
        </w:rPr>
        <w:t>% des enfants âgés de 0 à 14</w:t>
      </w:r>
      <w:r w:rsidR="007D5B61" w:rsidRPr="007C14AA">
        <w:rPr>
          <w:rFonts w:ascii="Verdana" w:eastAsia="Verdana" w:hAnsi="Verdana" w:cs="Verdana"/>
          <w:sz w:val="20"/>
          <w:szCs w:val="20"/>
          <w:lang w:val="fr-FR"/>
        </w:rPr>
        <w:t> </w:t>
      </w:r>
      <w:r w:rsidRPr="007C14AA">
        <w:rPr>
          <w:rFonts w:ascii="Verdana" w:eastAsia="Verdana" w:hAnsi="Verdana" w:cs="Verdana"/>
          <w:sz w:val="20"/>
          <w:szCs w:val="20"/>
          <w:lang w:val="fr-FR"/>
        </w:rPr>
        <w:t xml:space="preserve">ans </w:t>
      </w:r>
      <w:r w:rsidR="007310C8" w:rsidRPr="007C14AA">
        <w:rPr>
          <w:rFonts w:ascii="Verdana" w:eastAsia="Verdana" w:hAnsi="Verdana" w:cs="Verdana"/>
          <w:sz w:val="20"/>
          <w:szCs w:val="20"/>
          <w:lang w:val="fr-FR"/>
        </w:rPr>
        <w:t>infectés</w:t>
      </w:r>
      <w:r w:rsidR="00AF0D97" w:rsidRPr="007C14AA">
        <w:rPr>
          <w:rFonts w:ascii="Verdana" w:eastAsia="Verdana" w:hAnsi="Verdana" w:cs="Verdana"/>
          <w:sz w:val="20"/>
          <w:szCs w:val="20"/>
          <w:lang w:val="fr-FR"/>
        </w:rPr>
        <w:t xml:space="preserve"> par le VIH </w:t>
      </w:r>
      <w:r w:rsidRPr="007C14AA">
        <w:rPr>
          <w:rFonts w:ascii="Verdana" w:eastAsia="Verdana" w:hAnsi="Verdana" w:cs="Verdana"/>
          <w:sz w:val="20"/>
          <w:szCs w:val="20"/>
          <w:lang w:val="fr-FR"/>
        </w:rPr>
        <w:t>reçoivent un traitement antirétroviral, contre 77</w:t>
      </w:r>
      <w:r w:rsidR="00AF0D97" w:rsidRPr="007C14AA">
        <w:rPr>
          <w:rFonts w:ascii="Verdana" w:eastAsia="Verdana" w:hAnsi="Verdana" w:cs="Verdana"/>
          <w:sz w:val="20"/>
          <w:szCs w:val="20"/>
          <w:lang w:val="fr-FR"/>
        </w:rPr>
        <w:t> </w:t>
      </w:r>
      <w:r w:rsidRPr="007C14AA">
        <w:rPr>
          <w:rFonts w:ascii="Verdana" w:eastAsia="Verdana" w:hAnsi="Verdana" w:cs="Verdana"/>
          <w:sz w:val="20"/>
          <w:szCs w:val="20"/>
          <w:lang w:val="fr-FR"/>
        </w:rPr>
        <w:t>% des personnes âgées de 15</w:t>
      </w:r>
      <w:r w:rsidR="003F39F0" w:rsidRPr="007C14AA">
        <w:rPr>
          <w:rFonts w:ascii="Verdana" w:eastAsia="Verdana" w:hAnsi="Verdana" w:cs="Verdana"/>
          <w:sz w:val="20"/>
          <w:szCs w:val="20"/>
          <w:lang w:val="fr-FR"/>
        </w:rPr>
        <w:t> </w:t>
      </w:r>
      <w:r w:rsidRPr="007C14AA">
        <w:rPr>
          <w:rFonts w:ascii="Verdana" w:eastAsia="Verdana" w:hAnsi="Verdana" w:cs="Verdana"/>
          <w:sz w:val="20"/>
          <w:szCs w:val="20"/>
          <w:lang w:val="fr-FR"/>
        </w:rPr>
        <w:t>ans et plus.</w:t>
      </w:r>
    </w:p>
    <w:p w14:paraId="1031EA35" w14:textId="2A165B08" w:rsidR="002576E5" w:rsidRPr="007C14AA" w:rsidRDefault="002576E5" w:rsidP="002576E5">
      <w:pPr>
        <w:spacing w:after="0" w:line="240" w:lineRule="auto"/>
        <w:rPr>
          <w:rFonts w:ascii="Verdana" w:eastAsia="Verdana" w:hAnsi="Verdana" w:cs="Verdana"/>
          <w:sz w:val="20"/>
          <w:szCs w:val="20"/>
          <w:lang w:val="fr-FR"/>
        </w:rPr>
      </w:pPr>
      <w:r w:rsidRPr="007C14AA">
        <w:rPr>
          <w:lang w:val="fr-FR"/>
        </w:rPr>
        <w:br/>
      </w:r>
      <w:r w:rsidR="00F7545B" w:rsidRPr="007C14AA">
        <w:rPr>
          <w:rFonts w:ascii="Verdana" w:eastAsia="Verdana" w:hAnsi="Verdana" w:cs="Verdana"/>
          <w:sz w:val="20"/>
          <w:szCs w:val="20"/>
          <w:lang w:val="fr-FR"/>
        </w:rPr>
        <w:t>Enfin, l</w:t>
      </w:r>
      <w:r w:rsidR="002B45E7" w:rsidRPr="007C14AA">
        <w:rPr>
          <w:rFonts w:ascii="Verdana" w:eastAsia="Verdana" w:hAnsi="Verdana" w:cs="Verdana"/>
          <w:sz w:val="20"/>
          <w:szCs w:val="20"/>
          <w:lang w:val="fr-FR"/>
        </w:rPr>
        <w:t xml:space="preserve">es progrès </w:t>
      </w:r>
      <w:r w:rsidR="002A3188" w:rsidRPr="007C14AA">
        <w:rPr>
          <w:rFonts w:ascii="Verdana" w:eastAsia="Verdana" w:hAnsi="Verdana" w:cs="Verdana"/>
          <w:sz w:val="20"/>
          <w:szCs w:val="20"/>
          <w:lang w:val="fr-FR"/>
        </w:rPr>
        <w:t>accomplis</w:t>
      </w:r>
      <w:r w:rsidR="00B37228" w:rsidRPr="007C14AA">
        <w:rPr>
          <w:rFonts w:ascii="Verdana" w:eastAsia="Verdana" w:hAnsi="Verdana" w:cs="Verdana"/>
          <w:sz w:val="20"/>
          <w:szCs w:val="20"/>
          <w:lang w:val="fr-FR"/>
        </w:rPr>
        <w:t xml:space="preserve"> </w:t>
      </w:r>
      <w:r w:rsidR="00D0712E" w:rsidRPr="007C14AA">
        <w:rPr>
          <w:rFonts w:ascii="Verdana" w:eastAsia="Verdana" w:hAnsi="Verdana" w:cs="Verdana"/>
          <w:sz w:val="20"/>
          <w:szCs w:val="20"/>
          <w:lang w:val="fr-FR"/>
        </w:rPr>
        <w:t xml:space="preserve">pour </w:t>
      </w:r>
      <w:r w:rsidR="00A84FDE" w:rsidRPr="007C14AA">
        <w:rPr>
          <w:rFonts w:ascii="Verdana" w:eastAsia="Verdana" w:hAnsi="Verdana" w:cs="Verdana"/>
          <w:sz w:val="20"/>
          <w:szCs w:val="20"/>
          <w:lang w:val="fr-FR"/>
        </w:rPr>
        <w:t>mettre fin au</w:t>
      </w:r>
      <w:r w:rsidR="002B45E7" w:rsidRPr="007C14AA">
        <w:rPr>
          <w:rFonts w:ascii="Verdana" w:eastAsia="Verdana" w:hAnsi="Verdana" w:cs="Verdana"/>
          <w:sz w:val="20"/>
          <w:szCs w:val="20"/>
          <w:lang w:val="fr-FR"/>
        </w:rPr>
        <w:t xml:space="preserve"> sida restent lents</w:t>
      </w:r>
      <w:r w:rsidR="00F1240A" w:rsidRPr="007C14AA">
        <w:rPr>
          <w:rFonts w:ascii="Verdana" w:eastAsia="Verdana" w:hAnsi="Verdana" w:cs="Verdana"/>
          <w:sz w:val="20"/>
          <w:szCs w:val="20"/>
          <w:lang w:val="fr-FR"/>
        </w:rPr>
        <w:t> </w:t>
      </w:r>
      <w:r w:rsidR="002B45E7" w:rsidRPr="007C14AA">
        <w:rPr>
          <w:rFonts w:ascii="Verdana" w:eastAsia="Verdana" w:hAnsi="Verdana" w:cs="Verdana"/>
          <w:sz w:val="20"/>
          <w:szCs w:val="20"/>
          <w:lang w:val="fr-FR"/>
        </w:rPr>
        <w:t>:</w:t>
      </w:r>
      <w:r w:rsidR="00661F00" w:rsidRPr="007C14AA">
        <w:rPr>
          <w:rFonts w:ascii="Verdana" w:eastAsia="Verdana" w:hAnsi="Verdana" w:cs="Verdana"/>
          <w:sz w:val="20"/>
          <w:szCs w:val="20"/>
          <w:lang w:val="fr-FR"/>
        </w:rPr>
        <w:t xml:space="preserve"> à l’échelle mondiale,</w:t>
      </w:r>
      <w:r w:rsidR="002B45E7" w:rsidRPr="007C14AA">
        <w:rPr>
          <w:rFonts w:ascii="Verdana" w:eastAsia="Verdana" w:hAnsi="Verdana" w:cs="Verdana"/>
          <w:sz w:val="20"/>
          <w:szCs w:val="20"/>
          <w:lang w:val="fr-FR"/>
        </w:rPr>
        <w:t xml:space="preserve"> 99</w:t>
      </w:r>
      <w:r w:rsidR="00F1240A" w:rsidRPr="007C14AA">
        <w:rPr>
          <w:rFonts w:ascii="Verdana" w:eastAsia="Verdana" w:hAnsi="Verdana" w:cs="Verdana"/>
          <w:sz w:val="20"/>
          <w:szCs w:val="20"/>
          <w:lang w:val="fr-FR"/>
        </w:rPr>
        <w:t> </w:t>
      </w:r>
      <w:r w:rsidR="002B45E7" w:rsidRPr="007C14AA">
        <w:rPr>
          <w:rFonts w:ascii="Verdana" w:eastAsia="Verdana" w:hAnsi="Verdana" w:cs="Verdana"/>
          <w:sz w:val="20"/>
          <w:szCs w:val="20"/>
          <w:lang w:val="fr-FR"/>
        </w:rPr>
        <w:t>000</w:t>
      </w:r>
      <w:r w:rsidR="00F1240A" w:rsidRPr="007C14AA">
        <w:rPr>
          <w:rFonts w:ascii="Verdana" w:eastAsia="Verdana" w:hAnsi="Verdana" w:cs="Verdana"/>
          <w:sz w:val="20"/>
          <w:szCs w:val="20"/>
          <w:lang w:val="fr-FR"/>
        </w:rPr>
        <w:t> </w:t>
      </w:r>
      <w:r w:rsidR="002B45E7" w:rsidRPr="007C14AA">
        <w:rPr>
          <w:rFonts w:ascii="Verdana" w:eastAsia="Verdana" w:hAnsi="Verdana" w:cs="Verdana"/>
          <w:sz w:val="20"/>
          <w:szCs w:val="20"/>
          <w:lang w:val="fr-FR"/>
        </w:rPr>
        <w:t>enfants et adolescents âgés de 0 à 19</w:t>
      </w:r>
      <w:r w:rsidR="004A4011" w:rsidRPr="007C14AA">
        <w:rPr>
          <w:rFonts w:ascii="Verdana" w:eastAsia="Verdana" w:hAnsi="Verdana" w:cs="Verdana"/>
          <w:sz w:val="20"/>
          <w:szCs w:val="20"/>
          <w:lang w:val="fr-FR"/>
        </w:rPr>
        <w:t> </w:t>
      </w:r>
      <w:r w:rsidR="002B45E7" w:rsidRPr="007C14AA">
        <w:rPr>
          <w:rFonts w:ascii="Verdana" w:eastAsia="Verdana" w:hAnsi="Verdana" w:cs="Verdana"/>
          <w:sz w:val="20"/>
          <w:szCs w:val="20"/>
          <w:lang w:val="fr-FR"/>
        </w:rPr>
        <w:t xml:space="preserve">ans </w:t>
      </w:r>
      <w:r w:rsidR="00661F00" w:rsidRPr="007C14AA">
        <w:rPr>
          <w:rFonts w:ascii="Verdana" w:eastAsia="Verdana" w:hAnsi="Verdana" w:cs="Verdana"/>
          <w:sz w:val="20"/>
          <w:szCs w:val="20"/>
          <w:lang w:val="fr-FR"/>
        </w:rPr>
        <w:t>sont morts</w:t>
      </w:r>
      <w:r w:rsidR="002B45E7" w:rsidRPr="007C14AA">
        <w:rPr>
          <w:rFonts w:ascii="Verdana" w:eastAsia="Verdana" w:hAnsi="Verdana" w:cs="Verdana"/>
          <w:sz w:val="20"/>
          <w:szCs w:val="20"/>
          <w:lang w:val="fr-FR"/>
        </w:rPr>
        <w:t xml:space="preserve"> de causes liées </w:t>
      </w:r>
      <w:r w:rsidR="002D72ED" w:rsidRPr="007C14AA">
        <w:rPr>
          <w:rFonts w:ascii="Verdana" w:eastAsia="Verdana" w:hAnsi="Verdana" w:cs="Verdana"/>
          <w:sz w:val="20"/>
          <w:szCs w:val="20"/>
          <w:lang w:val="fr-FR"/>
        </w:rPr>
        <w:t xml:space="preserve">à </w:t>
      </w:r>
      <w:r w:rsidR="00A9122C" w:rsidRPr="007C14AA">
        <w:rPr>
          <w:rFonts w:ascii="Verdana" w:eastAsia="Verdana" w:hAnsi="Verdana" w:cs="Verdana"/>
          <w:sz w:val="20"/>
          <w:szCs w:val="20"/>
          <w:lang w:val="fr-FR"/>
        </w:rPr>
        <w:t>cette</w:t>
      </w:r>
      <w:r w:rsidR="002D72ED" w:rsidRPr="007C14AA">
        <w:rPr>
          <w:rFonts w:ascii="Verdana" w:eastAsia="Verdana" w:hAnsi="Verdana" w:cs="Verdana"/>
          <w:sz w:val="20"/>
          <w:szCs w:val="20"/>
          <w:lang w:val="fr-FR"/>
        </w:rPr>
        <w:t xml:space="preserve"> maladie</w:t>
      </w:r>
      <w:r w:rsidR="002B45E7" w:rsidRPr="007C14AA">
        <w:rPr>
          <w:rFonts w:ascii="Verdana" w:eastAsia="Verdana" w:hAnsi="Verdana" w:cs="Verdana"/>
          <w:sz w:val="20"/>
          <w:szCs w:val="20"/>
          <w:lang w:val="fr-FR"/>
        </w:rPr>
        <w:t xml:space="preserve"> en 2022, ce qui représente 15</w:t>
      </w:r>
      <w:r w:rsidR="00661F00" w:rsidRPr="007C14AA">
        <w:rPr>
          <w:rFonts w:ascii="Verdana" w:eastAsia="Verdana" w:hAnsi="Verdana" w:cs="Verdana"/>
          <w:sz w:val="20"/>
          <w:szCs w:val="20"/>
          <w:lang w:val="fr-FR"/>
        </w:rPr>
        <w:t> </w:t>
      </w:r>
      <w:r w:rsidR="002B45E7" w:rsidRPr="007C14AA">
        <w:rPr>
          <w:rFonts w:ascii="Verdana" w:eastAsia="Verdana" w:hAnsi="Verdana" w:cs="Verdana"/>
          <w:sz w:val="20"/>
          <w:szCs w:val="20"/>
          <w:lang w:val="fr-FR"/>
        </w:rPr>
        <w:t xml:space="preserve">% de </w:t>
      </w:r>
      <w:r w:rsidR="00AC348F" w:rsidRPr="007C14AA">
        <w:rPr>
          <w:rFonts w:ascii="Verdana" w:eastAsia="Verdana" w:hAnsi="Verdana" w:cs="Verdana"/>
          <w:sz w:val="20"/>
          <w:szCs w:val="20"/>
          <w:lang w:val="fr-FR"/>
        </w:rPr>
        <w:t>l’ensemble des</w:t>
      </w:r>
      <w:r w:rsidR="002B45E7" w:rsidRPr="007C14AA">
        <w:rPr>
          <w:rFonts w:ascii="Verdana" w:eastAsia="Verdana" w:hAnsi="Verdana" w:cs="Verdana"/>
          <w:sz w:val="20"/>
          <w:szCs w:val="20"/>
          <w:lang w:val="fr-FR"/>
        </w:rPr>
        <w:t xml:space="preserve"> décès </w:t>
      </w:r>
      <w:r w:rsidR="007C6818" w:rsidRPr="007C14AA">
        <w:rPr>
          <w:rFonts w:ascii="Verdana" w:eastAsia="Verdana" w:hAnsi="Verdana" w:cs="Verdana"/>
          <w:sz w:val="20"/>
          <w:szCs w:val="20"/>
          <w:lang w:val="fr-FR"/>
        </w:rPr>
        <w:t xml:space="preserve">imputables </w:t>
      </w:r>
      <w:r w:rsidR="00A9122C" w:rsidRPr="007C14AA">
        <w:rPr>
          <w:rFonts w:ascii="Verdana" w:eastAsia="Verdana" w:hAnsi="Verdana" w:cs="Verdana"/>
          <w:sz w:val="20"/>
          <w:szCs w:val="20"/>
          <w:lang w:val="fr-FR"/>
        </w:rPr>
        <w:t>au sida</w:t>
      </w:r>
      <w:r w:rsidR="002B45E7" w:rsidRPr="007C14AA">
        <w:rPr>
          <w:rFonts w:ascii="Verdana" w:eastAsia="Verdana" w:hAnsi="Verdana" w:cs="Verdana"/>
          <w:sz w:val="20"/>
          <w:szCs w:val="20"/>
          <w:lang w:val="fr-FR"/>
        </w:rPr>
        <w:t>, alors que ce groupe d</w:t>
      </w:r>
      <w:r w:rsidR="008B47D8" w:rsidRPr="007C14AA">
        <w:rPr>
          <w:rFonts w:ascii="Verdana" w:eastAsia="Verdana" w:hAnsi="Verdana" w:cs="Verdana"/>
          <w:sz w:val="20"/>
          <w:szCs w:val="20"/>
          <w:lang w:val="fr-FR"/>
        </w:rPr>
        <w:t>’</w:t>
      </w:r>
      <w:r w:rsidR="002B45E7" w:rsidRPr="007C14AA">
        <w:rPr>
          <w:rFonts w:ascii="Verdana" w:eastAsia="Verdana" w:hAnsi="Verdana" w:cs="Verdana"/>
          <w:sz w:val="20"/>
          <w:szCs w:val="20"/>
          <w:lang w:val="fr-FR"/>
        </w:rPr>
        <w:t>âge ne représente que 7</w:t>
      </w:r>
      <w:r w:rsidR="00A9122C" w:rsidRPr="007C14AA">
        <w:rPr>
          <w:rFonts w:ascii="Verdana" w:eastAsia="Verdana" w:hAnsi="Verdana" w:cs="Verdana"/>
          <w:sz w:val="20"/>
          <w:szCs w:val="20"/>
          <w:lang w:val="fr-FR"/>
        </w:rPr>
        <w:t> </w:t>
      </w:r>
      <w:r w:rsidR="002B45E7" w:rsidRPr="007C14AA">
        <w:rPr>
          <w:rFonts w:ascii="Verdana" w:eastAsia="Verdana" w:hAnsi="Verdana" w:cs="Verdana"/>
          <w:sz w:val="20"/>
          <w:szCs w:val="20"/>
          <w:lang w:val="fr-FR"/>
        </w:rPr>
        <w:t>% des personnes vivant avec le VIH.</w:t>
      </w:r>
      <w:r w:rsidRPr="007C14AA">
        <w:rPr>
          <w:lang w:val="fr-FR"/>
        </w:rPr>
        <w:br/>
      </w:r>
    </w:p>
    <w:p w14:paraId="65F2A574" w14:textId="77777777" w:rsidR="002576E5" w:rsidRPr="007C14AA" w:rsidRDefault="002576E5" w:rsidP="002576E5">
      <w:pPr>
        <w:spacing w:after="0" w:line="240" w:lineRule="auto"/>
        <w:rPr>
          <w:lang w:val="fr-FR"/>
        </w:rPr>
      </w:pPr>
      <w:r w:rsidRPr="007C14AA">
        <w:rPr>
          <w:rFonts w:ascii="Verdana" w:eastAsia="Verdana" w:hAnsi="Verdana" w:cs="Verdana"/>
          <w:color w:val="000000" w:themeColor="text1"/>
          <w:sz w:val="20"/>
          <w:szCs w:val="20"/>
          <w:lang w:val="fr-FR"/>
        </w:rPr>
        <w:t>###</w:t>
      </w:r>
    </w:p>
    <w:p w14:paraId="28C247CE" w14:textId="77777777" w:rsidR="002576E5" w:rsidRPr="007C14AA" w:rsidRDefault="002576E5" w:rsidP="002576E5">
      <w:pPr>
        <w:spacing w:after="0" w:line="240" w:lineRule="auto"/>
        <w:rPr>
          <w:rFonts w:ascii="Verdana" w:eastAsia="Verdana" w:hAnsi="Verdana" w:cs="Verdana"/>
          <w:b/>
          <w:bCs/>
          <w:color w:val="000000" w:themeColor="text1"/>
          <w:sz w:val="20"/>
          <w:szCs w:val="20"/>
          <w:lang w:val="fr-FR"/>
        </w:rPr>
      </w:pPr>
    </w:p>
    <w:p w14:paraId="40497C8F" w14:textId="01BB2A3C" w:rsidR="002576E5" w:rsidRPr="007C14AA" w:rsidRDefault="00806C4A" w:rsidP="002576E5">
      <w:pPr>
        <w:spacing w:after="0" w:line="240" w:lineRule="auto"/>
        <w:rPr>
          <w:lang w:val="fr-FR"/>
        </w:rPr>
      </w:pPr>
      <w:r w:rsidRPr="007C14AA">
        <w:rPr>
          <w:rFonts w:ascii="Verdana" w:eastAsia="Verdana" w:hAnsi="Verdana" w:cs="Verdana"/>
          <w:b/>
          <w:bCs/>
          <w:color w:val="000000" w:themeColor="text1"/>
          <w:sz w:val="20"/>
          <w:szCs w:val="20"/>
          <w:lang w:val="fr-FR"/>
        </w:rPr>
        <w:t xml:space="preserve">Notes aux rédactions </w:t>
      </w:r>
    </w:p>
    <w:p w14:paraId="5E3C41CE" w14:textId="77777777" w:rsidR="002576E5" w:rsidRPr="007C14AA" w:rsidRDefault="002576E5" w:rsidP="002576E5">
      <w:pPr>
        <w:spacing w:after="0" w:line="240" w:lineRule="auto"/>
        <w:rPr>
          <w:lang w:val="fr-FR"/>
        </w:rPr>
      </w:pPr>
    </w:p>
    <w:p w14:paraId="4FFAA1CE" w14:textId="78BC3A50" w:rsidR="0037279B" w:rsidRPr="007C14AA" w:rsidRDefault="00E1608E" w:rsidP="002576E5">
      <w:pPr>
        <w:spacing w:after="0" w:line="240" w:lineRule="auto"/>
        <w:rPr>
          <w:rFonts w:ascii="Verdana" w:eastAsia="Verdana" w:hAnsi="Verdana" w:cs="Verdana"/>
          <w:sz w:val="20"/>
          <w:szCs w:val="20"/>
          <w:lang w:val="fr-FR"/>
        </w:rPr>
      </w:pPr>
      <w:r w:rsidRPr="007C14AA">
        <w:rPr>
          <w:rFonts w:ascii="Verdana" w:eastAsia="Verdana" w:hAnsi="Verdana" w:cs="Verdana"/>
          <w:sz w:val="20"/>
          <w:szCs w:val="20"/>
          <w:lang w:val="fr-FR"/>
        </w:rPr>
        <w:t>*</w:t>
      </w:r>
      <w:r w:rsidR="009C3DA3" w:rsidRPr="007C14AA">
        <w:rPr>
          <w:rFonts w:ascii="Verdana" w:eastAsia="Verdana" w:hAnsi="Verdana" w:cs="Verdana"/>
          <w:sz w:val="20"/>
          <w:szCs w:val="20"/>
          <w:lang w:val="fr-FR"/>
        </w:rPr>
        <w:t xml:space="preserve">Tableau </w:t>
      </w:r>
      <w:r w:rsidR="00FB2823" w:rsidRPr="007C14AA">
        <w:rPr>
          <w:rFonts w:ascii="Verdana" w:eastAsia="Verdana" w:hAnsi="Verdana" w:cs="Verdana"/>
          <w:sz w:val="20"/>
          <w:szCs w:val="20"/>
          <w:lang w:val="fr-FR"/>
        </w:rPr>
        <w:t>recensant</w:t>
      </w:r>
      <w:r w:rsidR="009C3DA3" w:rsidRPr="007C14AA">
        <w:rPr>
          <w:rFonts w:ascii="Verdana" w:eastAsia="Verdana" w:hAnsi="Verdana" w:cs="Verdana"/>
          <w:sz w:val="20"/>
          <w:szCs w:val="20"/>
          <w:lang w:val="fr-FR"/>
        </w:rPr>
        <w:t xml:space="preserve"> le nombre</w:t>
      </w:r>
      <w:r w:rsidR="0037279B" w:rsidRPr="007C14AA">
        <w:rPr>
          <w:rFonts w:ascii="Verdana" w:eastAsia="Verdana" w:hAnsi="Verdana" w:cs="Verdana"/>
          <w:sz w:val="20"/>
          <w:szCs w:val="20"/>
          <w:lang w:val="fr-FR"/>
        </w:rPr>
        <w:t xml:space="preserve"> d</w:t>
      </w:r>
      <w:r w:rsidR="008959AE" w:rsidRPr="007C14AA">
        <w:rPr>
          <w:rFonts w:ascii="Verdana" w:eastAsia="Verdana" w:hAnsi="Verdana" w:cs="Verdana"/>
          <w:sz w:val="20"/>
          <w:szCs w:val="20"/>
          <w:lang w:val="fr-FR"/>
        </w:rPr>
        <w:t>’</w:t>
      </w:r>
      <w:r w:rsidR="0037279B" w:rsidRPr="007C14AA">
        <w:rPr>
          <w:rFonts w:ascii="Verdana" w:eastAsia="Verdana" w:hAnsi="Verdana" w:cs="Verdana"/>
          <w:sz w:val="20"/>
          <w:szCs w:val="20"/>
          <w:lang w:val="fr-FR"/>
        </w:rPr>
        <w:t>enfants et d</w:t>
      </w:r>
      <w:r w:rsidR="008959AE" w:rsidRPr="007C14AA">
        <w:rPr>
          <w:rFonts w:ascii="Verdana" w:eastAsia="Verdana" w:hAnsi="Verdana" w:cs="Verdana"/>
          <w:sz w:val="20"/>
          <w:szCs w:val="20"/>
          <w:lang w:val="fr-FR"/>
        </w:rPr>
        <w:t>’</w:t>
      </w:r>
      <w:r w:rsidR="0037279B" w:rsidRPr="007C14AA">
        <w:rPr>
          <w:rFonts w:ascii="Verdana" w:eastAsia="Verdana" w:hAnsi="Verdana" w:cs="Verdana"/>
          <w:sz w:val="20"/>
          <w:szCs w:val="20"/>
          <w:lang w:val="fr-FR"/>
        </w:rPr>
        <w:t xml:space="preserve">adolescents séropositifs </w:t>
      </w:r>
      <w:r w:rsidR="00FB2823" w:rsidRPr="007C14AA">
        <w:rPr>
          <w:rFonts w:ascii="Verdana" w:eastAsia="Verdana" w:hAnsi="Verdana" w:cs="Verdana"/>
          <w:sz w:val="20"/>
          <w:szCs w:val="20"/>
          <w:lang w:val="fr-FR"/>
        </w:rPr>
        <w:t xml:space="preserve">par </w:t>
      </w:r>
      <w:r w:rsidR="004E54E0" w:rsidRPr="007C14AA">
        <w:rPr>
          <w:rFonts w:ascii="Verdana" w:eastAsia="Verdana" w:hAnsi="Verdana" w:cs="Verdana"/>
          <w:sz w:val="20"/>
          <w:szCs w:val="20"/>
          <w:lang w:val="fr-FR"/>
        </w:rPr>
        <w:t>tranche</w:t>
      </w:r>
      <w:r w:rsidR="00FB2823" w:rsidRPr="007C14AA">
        <w:rPr>
          <w:rFonts w:ascii="Verdana" w:eastAsia="Verdana" w:hAnsi="Verdana" w:cs="Verdana"/>
          <w:sz w:val="20"/>
          <w:szCs w:val="20"/>
          <w:lang w:val="fr-FR"/>
        </w:rPr>
        <w:t xml:space="preserve"> d’âge</w:t>
      </w:r>
      <w:r w:rsidR="009768BE" w:rsidRPr="007C14AA">
        <w:rPr>
          <w:rFonts w:ascii="Verdana" w:eastAsia="Verdana" w:hAnsi="Verdana" w:cs="Verdana"/>
          <w:sz w:val="20"/>
          <w:szCs w:val="20"/>
          <w:lang w:val="fr-FR"/>
        </w:rPr>
        <w:t xml:space="preserve"> </w:t>
      </w:r>
      <w:r w:rsidR="00D3302C" w:rsidRPr="007C14AA">
        <w:rPr>
          <w:rFonts w:ascii="Verdana" w:eastAsia="Verdana" w:hAnsi="Verdana" w:cs="Verdana"/>
          <w:sz w:val="20"/>
          <w:szCs w:val="20"/>
          <w:lang w:val="fr-FR"/>
        </w:rPr>
        <w:t xml:space="preserve">dans les </w:t>
      </w:r>
      <w:r w:rsidR="009768BE" w:rsidRPr="007C14AA">
        <w:rPr>
          <w:rFonts w:ascii="Verdana" w:eastAsia="Verdana" w:hAnsi="Verdana" w:cs="Verdana"/>
          <w:sz w:val="20"/>
          <w:szCs w:val="20"/>
          <w:lang w:val="fr-FR"/>
        </w:rPr>
        <w:t>région</w:t>
      </w:r>
      <w:r w:rsidR="00D3302C" w:rsidRPr="007C14AA">
        <w:rPr>
          <w:rFonts w:ascii="Verdana" w:eastAsia="Verdana" w:hAnsi="Verdana" w:cs="Verdana"/>
          <w:sz w:val="20"/>
          <w:szCs w:val="20"/>
          <w:lang w:val="fr-FR"/>
        </w:rPr>
        <w:t>s</w:t>
      </w:r>
      <w:r w:rsidR="0037279B" w:rsidRPr="007C14AA">
        <w:rPr>
          <w:rFonts w:ascii="Verdana" w:eastAsia="Verdana" w:hAnsi="Verdana" w:cs="Verdana"/>
          <w:sz w:val="20"/>
          <w:szCs w:val="20"/>
          <w:lang w:val="fr-FR"/>
        </w:rPr>
        <w:t xml:space="preserve"> </w:t>
      </w:r>
      <w:r w:rsidR="009768BE" w:rsidRPr="007C14AA">
        <w:rPr>
          <w:rFonts w:ascii="Verdana" w:eastAsia="Verdana" w:hAnsi="Verdana" w:cs="Verdana"/>
          <w:sz w:val="20"/>
          <w:szCs w:val="20"/>
          <w:lang w:val="fr-FR"/>
        </w:rPr>
        <w:t>les plus touchées</w:t>
      </w:r>
      <w:r w:rsidR="00B41845" w:rsidRPr="007C14AA">
        <w:rPr>
          <w:rFonts w:ascii="Verdana" w:eastAsia="Verdana" w:hAnsi="Verdana" w:cs="Verdana"/>
          <w:sz w:val="20"/>
          <w:szCs w:val="20"/>
          <w:lang w:val="fr-FR"/>
        </w:rPr>
        <w:t> :</w:t>
      </w:r>
    </w:p>
    <w:p w14:paraId="48B55D18" w14:textId="54F48AAA" w:rsidR="002576E5" w:rsidRPr="007C14AA" w:rsidRDefault="002576E5" w:rsidP="002576E5">
      <w:pPr>
        <w:spacing w:after="0" w:line="240" w:lineRule="auto"/>
        <w:rPr>
          <w:rFonts w:ascii="Verdana" w:eastAsia="Verdana" w:hAnsi="Verdana" w:cs="Verdana"/>
          <w:sz w:val="20"/>
          <w:szCs w:val="20"/>
          <w:lang w:val="fr-FR"/>
        </w:rPr>
      </w:pPr>
      <w:r w:rsidRPr="007C14AA">
        <w:rPr>
          <w:lang w:val="fr-FR"/>
        </w:rPr>
        <w:br/>
      </w:r>
    </w:p>
    <w:tbl>
      <w:tblPr>
        <w:tblStyle w:val="TableGrid"/>
        <w:tblW w:w="0" w:type="auto"/>
        <w:tblLook w:val="06A0" w:firstRow="1" w:lastRow="0" w:firstColumn="1" w:lastColumn="0" w:noHBand="1" w:noVBand="1"/>
      </w:tblPr>
      <w:tblGrid>
        <w:gridCol w:w="1559"/>
        <w:gridCol w:w="1558"/>
        <w:gridCol w:w="1558"/>
        <w:gridCol w:w="1558"/>
        <w:gridCol w:w="1558"/>
        <w:gridCol w:w="1559"/>
      </w:tblGrid>
      <w:tr w:rsidR="002576E5" w:rsidRPr="007C14AA" w14:paraId="355D4AC5" w14:textId="77777777" w:rsidTr="0065420A">
        <w:trPr>
          <w:trHeight w:val="300"/>
        </w:trPr>
        <w:tc>
          <w:tcPr>
            <w:tcW w:w="1560" w:type="dxa"/>
          </w:tcPr>
          <w:p w14:paraId="70C132B7" w14:textId="6F615A75" w:rsidR="002576E5" w:rsidRPr="007C14AA" w:rsidRDefault="004E54E0" w:rsidP="0065420A">
            <w:pPr>
              <w:spacing w:line="259" w:lineRule="auto"/>
              <w:rPr>
                <w:rFonts w:ascii="Verdana" w:eastAsia="Verdana" w:hAnsi="Verdana" w:cs="Verdana"/>
                <w:b/>
                <w:bCs/>
                <w:sz w:val="16"/>
                <w:szCs w:val="16"/>
                <w:lang w:val="fr-FR"/>
              </w:rPr>
            </w:pPr>
            <w:r w:rsidRPr="007C14AA">
              <w:rPr>
                <w:rFonts w:ascii="Verdana" w:eastAsia="Verdana" w:hAnsi="Verdana" w:cs="Verdana"/>
                <w:b/>
                <w:bCs/>
                <w:sz w:val="16"/>
                <w:szCs w:val="16"/>
                <w:lang w:val="fr-FR"/>
              </w:rPr>
              <w:t xml:space="preserve">Indicateur par âge </w:t>
            </w:r>
          </w:p>
        </w:tc>
        <w:tc>
          <w:tcPr>
            <w:tcW w:w="1560" w:type="dxa"/>
          </w:tcPr>
          <w:p w14:paraId="3EC37DE2" w14:textId="3AEDE085" w:rsidR="002576E5" w:rsidRPr="007C14AA" w:rsidRDefault="004E54E0" w:rsidP="0065420A">
            <w:pPr>
              <w:rPr>
                <w:rFonts w:ascii="Verdana" w:eastAsia="Verdana" w:hAnsi="Verdana" w:cs="Verdana"/>
                <w:b/>
                <w:bCs/>
                <w:color w:val="00B0F0"/>
                <w:sz w:val="16"/>
                <w:szCs w:val="16"/>
                <w:lang w:val="fr-FR"/>
              </w:rPr>
            </w:pPr>
            <w:r w:rsidRPr="007C14AA">
              <w:rPr>
                <w:rFonts w:ascii="Verdana" w:eastAsia="Verdana" w:hAnsi="Verdana" w:cs="Verdana"/>
                <w:b/>
                <w:bCs/>
                <w:color w:val="00B0F0"/>
                <w:sz w:val="16"/>
                <w:szCs w:val="16"/>
                <w:lang w:val="fr-FR"/>
              </w:rPr>
              <w:t xml:space="preserve">Afrique de l’Est et australe </w:t>
            </w:r>
          </w:p>
        </w:tc>
        <w:tc>
          <w:tcPr>
            <w:tcW w:w="1560" w:type="dxa"/>
          </w:tcPr>
          <w:p w14:paraId="6CC1140D" w14:textId="1E64BAC9" w:rsidR="002576E5" w:rsidRPr="007C14AA" w:rsidRDefault="004E54E0" w:rsidP="0065420A">
            <w:pPr>
              <w:rPr>
                <w:rFonts w:ascii="Verdana" w:eastAsia="Verdana" w:hAnsi="Verdana" w:cs="Verdana"/>
                <w:b/>
                <w:bCs/>
                <w:color w:val="00B0F0"/>
                <w:sz w:val="16"/>
                <w:szCs w:val="16"/>
                <w:lang w:val="fr-FR"/>
              </w:rPr>
            </w:pPr>
            <w:r w:rsidRPr="007C14AA">
              <w:rPr>
                <w:rFonts w:ascii="Verdana" w:eastAsia="Verdana" w:hAnsi="Verdana" w:cs="Verdana"/>
                <w:b/>
                <w:bCs/>
                <w:color w:val="00B0F0"/>
                <w:sz w:val="16"/>
                <w:szCs w:val="16"/>
                <w:lang w:val="fr-FR"/>
              </w:rPr>
              <w:t xml:space="preserve">Afrique de l’Ouest et centrale </w:t>
            </w:r>
          </w:p>
        </w:tc>
        <w:tc>
          <w:tcPr>
            <w:tcW w:w="1560" w:type="dxa"/>
          </w:tcPr>
          <w:p w14:paraId="462B2577" w14:textId="4B1F3D25" w:rsidR="002576E5" w:rsidRPr="007C14AA" w:rsidRDefault="004E54E0" w:rsidP="0065420A">
            <w:pPr>
              <w:rPr>
                <w:rFonts w:ascii="Verdana" w:eastAsia="Verdana" w:hAnsi="Verdana" w:cs="Verdana"/>
                <w:b/>
                <w:bCs/>
                <w:color w:val="00B0F0"/>
                <w:sz w:val="16"/>
                <w:szCs w:val="16"/>
                <w:lang w:val="fr-FR"/>
              </w:rPr>
            </w:pPr>
            <w:r w:rsidRPr="007C14AA">
              <w:rPr>
                <w:rFonts w:ascii="Verdana" w:eastAsia="Verdana" w:hAnsi="Verdana" w:cs="Verdana"/>
                <w:b/>
                <w:bCs/>
                <w:color w:val="00B0F0"/>
                <w:sz w:val="16"/>
                <w:szCs w:val="16"/>
                <w:lang w:val="fr-FR"/>
              </w:rPr>
              <w:t xml:space="preserve">Asie de l’Est et Pacifique </w:t>
            </w:r>
          </w:p>
        </w:tc>
        <w:tc>
          <w:tcPr>
            <w:tcW w:w="1560" w:type="dxa"/>
          </w:tcPr>
          <w:p w14:paraId="0049320E" w14:textId="5AAB5371" w:rsidR="002576E5" w:rsidRPr="007C14AA" w:rsidRDefault="004E54E0" w:rsidP="0065420A">
            <w:pPr>
              <w:rPr>
                <w:rFonts w:ascii="Verdana" w:eastAsia="Verdana" w:hAnsi="Verdana" w:cs="Verdana"/>
                <w:b/>
                <w:bCs/>
                <w:color w:val="00B0F0"/>
                <w:sz w:val="16"/>
                <w:szCs w:val="16"/>
                <w:lang w:val="fr-FR"/>
              </w:rPr>
            </w:pPr>
            <w:r w:rsidRPr="007C14AA">
              <w:rPr>
                <w:rFonts w:ascii="Verdana" w:eastAsia="Verdana" w:hAnsi="Verdana" w:cs="Verdana"/>
                <w:b/>
                <w:bCs/>
                <w:color w:val="00B0F0"/>
                <w:sz w:val="16"/>
                <w:szCs w:val="16"/>
                <w:lang w:val="fr-FR"/>
              </w:rPr>
              <w:t xml:space="preserve">Asie du Sud </w:t>
            </w:r>
          </w:p>
        </w:tc>
        <w:tc>
          <w:tcPr>
            <w:tcW w:w="1560" w:type="dxa"/>
          </w:tcPr>
          <w:p w14:paraId="1312052D" w14:textId="49D4CFC3" w:rsidR="002576E5" w:rsidRPr="007C14AA" w:rsidRDefault="004E54E0" w:rsidP="0065420A">
            <w:pPr>
              <w:rPr>
                <w:rFonts w:ascii="Verdana" w:eastAsia="Verdana" w:hAnsi="Verdana" w:cs="Verdana"/>
                <w:b/>
                <w:bCs/>
                <w:color w:val="00B0F0"/>
                <w:sz w:val="16"/>
                <w:szCs w:val="16"/>
                <w:lang w:val="fr-FR"/>
              </w:rPr>
            </w:pPr>
            <w:r w:rsidRPr="007C14AA">
              <w:rPr>
                <w:rFonts w:ascii="Verdana" w:eastAsia="Verdana" w:hAnsi="Verdana" w:cs="Verdana"/>
                <w:b/>
                <w:bCs/>
                <w:color w:val="00B0F0"/>
                <w:sz w:val="16"/>
                <w:szCs w:val="16"/>
                <w:lang w:val="fr-FR"/>
              </w:rPr>
              <w:t xml:space="preserve">Amérique latine et Caraïbes </w:t>
            </w:r>
          </w:p>
        </w:tc>
      </w:tr>
      <w:tr w:rsidR="002576E5" w:rsidRPr="007C14AA" w14:paraId="3C1FD32C" w14:textId="77777777" w:rsidTr="0065420A">
        <w:trPr>
          <w:trHeight w:val="300"/>
        </w:trPr>
        <w:tc>
          <w:tcPr>
            <w:tcW w:w="9360" w:type="dxa"/>
            <w:gridSpan w:val="6"/>
          </w:tcPr>
          <w:p w14:paraId="570A2AFB" w14:textId="113D7AE2" w:rsidR="002576E5" w:rsidRPr="007C14AA" w:rsidRDefault="00B24720" w:rsidP="0065420A">
            <w:pPr>
              <w:rPr>
                <w:rFonts w:ascii="Verdana" w:eastAsia="Verdana" w:hAnsi="Verdana" w:cs="Verdana"/>
                <w:b/>
                <w:bCs/>
                <w:sz w:val="16"/>
                <w:szCs w:val="16"/>
                <w:lang w:val="fr-FR"/>
              </w:rPr>
            </w:pPr>
            <w:r w:rsidRPr="007C14AA">
              <w:rPr>
                <w:rFonts w:ascii="Verdana" w:eastAsia="Verdana" w:hAnsi="Verdana" w:cs="Verdana"/>
                <w:b/>
                <w:bCs/>
                <w:sz w:val="16"/>
                <w:szCs w:val="16"/>
                <w:lang w:val="fr-FR"/>
              </w:rPr>
              <w:t>Enfants âgés de</w:t>
            </w:r>
            <w:r w:rsidR="002576E5" w:rsidRPr="007C14AA">
              <w:rPr>
                <w:rFonts w:ascii="Verdana" w:eastAsia="Verdana" w:hAnsi="Verdana" w:cs="Verdana"/>
                <w:b/>
                <w:bCs/>
                <w:sz w:val="16"/>
                <w:szCs w:val="16"/>
                <w:lang w:val="fr-FR"/>
              </w:rPr>
              <w:t xml:space="preserve"> 0</w:t>
            </w:r>
            <w:r w:rsidRPr="007C14AA">
              <w:rPr>
                <w:rFonts w:ascii="Verdana" w:eastAsia="Verdana" w:hAnsi="Verdana" w:cs="Verdana"/>
                <w:b/>
                <w:bCs/>
                <w:sz w:val="16"/>
                <w:szCs w:val="16"/>
                <w:lang w:val="fr-FR"/>
              </w:rPr>
              <w:t xml:space="preserve"> à </w:t>
            </w:r>
            <w:r w:rsidR="002576E5" w:rsidRPr="007C14AA">
              <w:rPr>
                <w:rFonts w:ascii="Verdana" w:eastAsia="Verdana" w:hAnsi="Verdana" w:cs="Verdana"/>
                <w:b/>
                <w:bCs/>
                <w:sz w:val="16"/>
                <w:szCs w:val="16"/>
                <w:lang w:val="fr-FR"/>
              </w:rPr>
              <w:t>14</w:t>
            </w:r>
            <w:r w:rsidRPr="007C14AA">
              <w:rPr>
                <w:rFonts w:ascii="Verdana" w:eastAsia="Verdana" w:hAnsi="Verdana" w:cs="Verdana"/>
                <w:b/>
                <w:bCs/>
                <w:sz w:val="16"/>
                <w:szCs w:val="16"/>
                <w:lang w:val="fr-FR"/>
              </w:rPr>
              <w:t> ans</w:t>
            </w:r>
            <w:r w:rsidR="002576E5" w:rsidRPr="007C14AA">
              <w:rPr>
                <w:rFonts w:ascii="Verdana" w:eastAsia="Verdana" w:hAnsi="Verdana" w:cs="Verdana"/>
                <w:b/>
                <w:bCs/>
                <w:sz w:val="16"/>
                <w:szCs w:val="16"/>
                <w:lang w:val="fr-FR"/>
              </w:rPr>
              <w:t xml:space="preserve"> </w:t>
            </w:r>
          </w:p>
        </w:tc>
      </w:tr>
      <w:tr w:rsidR="002576E5" w:rsidRPr="007C14AA" w14:paraId="634E4343" w14:textId="77777777" w:rsidTr="0065420A">
        <w:trPr>
          <w:trHeight w:val="300"/>
        </w:trPr>
        <w:tc>
          <w:tcPr>
            <w:tcW w:w="1560" w:type="dxa"/>
          </w:tcPr>
          <w:p w14:paraId="2BF51FB8" w14:textId="2F54A0B3" w:rsidR="002576E5" w:rsidRPr="007C14AA" w:rsidRDefault="00152F15" w:rsidP="0065420A">
            <w:pPr>
              <w:rPr>
                <w:rFonts w:ascii="Verdana" w:eastAsia="Verdana" w:hAnsi="Verdana" w:cs="Verdana"/>
                <w:b/>
                <w:bCs/>
                <w:sz w:val="16"/>
                <w:szCs w:val="16"/>
                <w:lang w:val="fr-FR"/>
              </w:rPr>
            </w:pPr>
            <w:r w:rsidRPr="007C14AA">
              <w:rPr>
                <w:rFonts w:ascii="Verdana" w:eastAsia="Verdana" w:hAnsi="Verdana" w:cs="Verdana"/>
                <w:b/>
                <w:bCs/>
                <w:sz w:val="16"/>
                <w:szCs w:val="16"/>
                <w:lang w:val="fr-FR"/>
              </w:rPr>
              <w:t xml:space="preserve">Population séropositive </w:t>
            </w:r>
          </w:p>
        </w:tc>
        <w:tc>
          <w:tcPr>
            <w:tcW w:w="1560" w:type="dxa"/>
          </w:tcPr>
          <w:p w14:paraId="75CE9C6C" w14:textId="4A389FB6" w:rsidR="002576E5" w:rsidRPr="007C14AA" w:rsidRDefault="002576E5" w:rsidP="0065420A">
            <w:pPr>
              <w:rPr>
                <w:rFonts w:ascii="Verdana" w:eastAsia="Verdana" w:hAnsi="Verdana" w:cs="Verdana"/>
                <w:sz w:val="16"/>
                <w:szCs w:val="16"/>
                <w:lang w:val="fr-FR"/>
              </w:rPr>
            </w:pPr>
            <w:r w:rsidRPr="007C14AA">
              <w:rPr>
                <w:rFonts w:ascii="Verdana" w:eastAsia="Verdana" w:hAnsi="Verdana" w:cs="Verdana"/>
                <w:sz w:val="16"/>
                <w:szCs w:val="16"/>
                <w:lang w:val="fr-FR"/>
              </w:rPr>
              <w:t>940</w:t>
            </w:r>
            <w:r w:rsidR="009D0DC7" w:rsidRPr="007C14AA">
              <w:rPr>
                <w:rFonts w:ascii="Verdana" w:eastAsia="Verdana" w:hAnsi="Verdana" w:cs="Verdana"/>
                <w:sz w:val="16"/>
                <w:szCs w:val="16"/>
                <w:lang w:val="fr-FR"/>
              </w:rPr>
              <w:t> </w:t>
            </w:r>
            <w:r w:rsidRPr="007C14AA">
              <w:rPr>
                <w:rFonts w:ascii="Verdana" w:eastAsia="Verdana" w:hAnsi="Verdana" w:cs="Verdana"/>
                <w:sz w:val="16"/>
                <w:szCs w:val="16"/>
                <w:lang w:val="fr-FR"/>
              </w:rPr>
              <w:t>000</w:t>
            </w:r>
          </w:p>
        </w:tc>
        <w:tc>
          <w:tcPr>
            <w:tcW w:w="1560" w:type="dxa"/>
          </w:tcPr>
          <w:p w14:paraId="1253DF7C" w14:textId="247B488E" w:rsidR="002576E5" w:rsidRPr="007C14AA" w:rsidRDefault="002576E5" w:rsidP="0065420A">
            <w:pPr>
              <w:rPr>
                <w:rFonts w:ascii="Verdana" w:eastAsia="Verdana" w:hAnsi="Verdana" w:cs="Verdana"/>
                <w:sz w:val="16"/>
                <w:szCs w:val="16"/>
                <w:lang w:val="fr-FR"/>
              </w:rPr>
            </w:pPr>
            <w:r w:rsidRPr="007C14AA">
              <w:rPr>
                <w:rFonts w:ascii="Verdana" w:eastAsia="Verdana" w:hAnsi="Verdana" w:cs="Verdana"/>
                <w:sz w:val="16"/>
                <w:szCs w:val="16"/>
                <w:lang w:val="fr-FR"/>
              </w:rPr>
              <w:t>390</w:t>
            </w:r>
            <w:r w:rsidR="009D0DC7" w:rsidRPr="007C14AA">
              <w:rPr>
                <w:rFonts w:ascii="Verdana" w:eastAsia="Verdana" w:hAnsi="Verdana" w:cs="Verdana"/>
                <w:sz w:val="16"/>
                <w:szCs w:val="16"/>
                <w:lang w:val="fr-FR"/>
              </w:rPr>
              <w:t> </w:t>
            </w:r>
            <w:r w:rsidRPr="007C14AA">
              <w:rPr>
                <w:rFonts w:ascii="Verdana" w:eastAsia="Verdana" w:hAnsi="Verdana" w:cs="Verdana"/>
                <w:sz w:val="16"/>
                <w:szCs w:val="16"/>
                <w:lang w:val="fr-FR"/>
              </w:rPr>
              <w:t>000</w:t>
            </w:r>
          </w:p>
        </w:tc>
        <w:tc>
          <w:tcPr>
            <w:tcW w:w="1560" w:type="dxa"/>
          </w:tcPr>
          <w:p w14:paraId="36B16274" w14:textId="64465B58" w:rsidR="002576E5" w:rsidRPr="007C14AA" w:rsidRDefault="002576E5" w:rsidP="0065420A">
            <w:pPr>
              <w:rPr>
                <w:rFonts w:ascii="Verdana" w:eastAsia="Verdana" w:hAnsi="Verdana" w:cs="Verdana"/>
                <w:sz w:val="16"/>
                <w:szCs w:val="16"/>
                <w:lang w:val="fr-FR"/>
              </w:rPr>
            </w:pPr>
            <w:r w:rsidRPr="007C14AA">
              <w:rPr>
                <w:rFonts w:ascii="Verdana" w:eastAsia="Verdana" w:hAnsi="Verdana" w:cs="Verdana"/>
                <w:sz w:val="16"/>
                <w:szCs w:val="16"/>
                <w:lang w:val="fr-FR"/>
              </w:rPr>
              <w:t>51</w:t>
            </w:r>
            <w:r w:rsidR="009D0DC7" w:rsidRPr="007C14AA">
              <w:rPr>
                <w:rFonts w:ascii="Verdana" w:eastAsia="Verdana" w:hAnsi="Verdana" w:cs="Verdana"/>
                <w:sz w:val="16"/>
                <w:szCs w:val="16"/>
                <w:lang w:val="fr-FR"/>
              </w:rPr>
              <w:t> </w:t>
            </w:r>
            <w:r w:rsidRPr="007C14AA">
              <w:rPr>
                <w:rFonts w:ascii="Verdana" w:eastAsia="Verdana" w:hAnsi="Verdana" w:cs="Verdana"/>
                <w:sz w:val="16"/>
                <w:szCs w:val="16"/>
                <w:lang w:val="fr-FR"/>
              </w:rPr>
              <w:t>000</w:t>
            </w:r>
          </w:p>
        </w:tc>
        <w:tc>
          <w:tcPr>
            <w:tcW w:w="1560" w:type="dxa"/>
          </w:tcPr>
          <w:p w14:paraId="4E1ABDC7" w14:textId="62E7C8EC" w:rsidR="002576E5" w:rsidRPr="007C14AA" w:rsidRDefault="002576E5" w:rsidP="0065420A">
            <w:pPr>
              <w:rPr>
                <w:rFonts w:ascii="Verdana" w:eastAsia="Verdana" w:hAnsi="Verdana" w:cs="Verdana"/>
                <w:sz w:val="16"/>
                <w:szCs w:val="16"/>
                <w:lang w:val="fr-FR"/>
              </w:rPr>
            </w:pPr>
            <w:r w:rsidRPr="007C14AA">
              <w:rPr>
                <w:rFonts w:ascii="Verdana" w:eastAsia="Verdana" w:hAnsi="Verdana" w:cs="Verdana"/>
                <w:sz w:val="16"/>
                <w:szCs w:val="16"/>
                <w:lang w:val="fr-FR"/>
              </w:rPr>
              <w:t>78</w:t>
            </w:r>
            <w:r w:rsidR="009D0DC7" w:rsidRPr="007C14AA">
              <w:rPr>
                <w:rFonts w:ascii="Verdana" w:eastAsia="Verdana" w:hAnsi="Verdana" w:cs="Verdana"/>
                <w:sz w:val="16"/>
                <w:szCs w:val="16"/>
                <w:lang w:val="fr-FR"/>
              </w:rPr>
              <w:t> </w:t>
            </w:r>
            <w:r w:rsidRPr="007C14AA">
              <w:rPr>
                <w:rFonts w:ascii="Verdana" w:eastAsia="Verdana" w:hAnsi="Verdana" w:cs="Verdana"/>
                <w:sz w:val="16"/>
                <w:szCs w:val="16"/>
                <w:lang w:val="fr-FR"/>
              </w:rPr>
              <w:t>000</w:t>
            </w:r>
          </w:p>
        </w:tc>
        <w:tc>
          <w:tcPr>
            <w:tcW w:w="1560" w:type="dxa"/>
          </w:tcPr>
          <w:p w14:paraId="72EF59A0" w14:textId="22B9D8F9" w:rsidR="002576E5" w:rsidRPr="007C14AA" w:rsidRDefault="002576E5" w:rsidP="0065420A">
            <w:pPr>
              <w:rPr>
                <w:rFonts w:ascii="Verdana" w:eastAsia="Verdana" w:hAnsi="Verdana" w:cs="Verdana"/>
                <w:sz w:val="16"/>
                <w:szCs w:val="16"/>
                <w:lang w:val="fr-FR"/>
              </w:rPr>
            </w:pPr>
            <w:r w:rsidRPr="007C14AA">
              <w:rPr>
                <w:rFonts w:ascii="Verdana" w:eastAsia="Verdana" w:hAnsi="Verdana" w:cs="Verdana"/>
                <w:sz w:val="16"/>
                <w:szCs w:val="16"/>
                <w:lang w:val="fr-FR"/>
              </w:rPr>
              <w:t>42</w:t>
            </w:r>
            <w:r w:rsidR="009D0DC7" w:rsidRPr="007C14AA">
              <w:rPr>
                <w:rFonts w:ascii="Verdana" w:eastAsia="Verdana" w:hAnsi="Verdana" w:cs="Verdana"/>
                <w:sz w:val="16"/>
                <w:szCs w:val="16"/>
                <w:lang w:val="fr-FR"/>
              </w:rPr>
              <w:t> </w:t>
            </w:r>
            <w:r w:rsidRPr="007C14AA">
              <w:rPr>
                <w:rFonts w:ascii="Verdana" w:eastAsia="Verdana" w:hAnsi="Verdana" w:cs="Verdana"/>
                <w:sz w:val="16"/>
                <w:szCs w:val="16"/>
                <w:lang w:val="fr-FR"/>
              </w:rPr>
              <w:t>000</w:t>
            </w:r>
          </w:p>
        </w:tc>
      </w:tr>
      <w:tr w:rsidR="002576E5" w:rsidRPr="007C14AA" w14:paraId="09255AFD" w14:textId="77777777" w:rsidTr="0065420A">
        <w:trPr>
          <w:trHeight w:val="300"/>
        </w:trPr>
        <w:tc>
          <w:tcPr>
            <w:tcW w:w="1560" w:type="dxa"/>
          </w:tcPr>
          <w:p w14:paraId="4C775029" w14:textId="1EFC9BCD" w:rsidR="002576E5" w:rsidRPr="007C14AA" w:rsidRDefault="00152F15" w:rsidP="0065420A">
            <w:pPr>
              <w:rPr>
                <w:rFonts w:ascii="Verdana" w:eastAsia="Verdana" w:hAnsi="Verdana" w:cs="Verdana"/>
                <w:b/>
                <w:bCs/>
                <w:sz w:val="16"/>
                <w:szCs w:val="16"/>
                <w:lang w:val="fr-FR"/>
              </w:rPr>
            </w:pPr>
            <w:r w:rsidRPr="007C14AA">
              <w:rPr>
                <w:rFonts w:ascii="Verdana" w:eastAsia="Verdana" w:hAnsi="Verdana" w:cs="Verdana"/>
                <w:b/>
                <w:bCs/>
                <w:sz w:val="16"/>
                <w:szCs w:val="16"/>
                <w:lang w:val="fr-FR"/>
              </w:rPr>
              <w:t>Nouveaux cas d’infection en</w:t>
            </w:r>
            <w:r w:rsidR="002576E5" w:rsidRPr="007C14AA">
              <w:rPr>
                <w:rFonts w:ascii="Verdana" w:eastAsia="Verdana" w:hAnsi="Verdana" w:cs="Verdana"/>
                <w:b/>
                <w:bCs/>
                <w:sz w:val="16"/>
                <w:szCs w:val="16"/>
                <w:lang w:val="fr-FR"/>
              </w:rPr>
              <w:t xml:space="preserve"> 2022</w:t>
            </w:r>
          </w:p>
        </w:tc>
        <w:tc>
          <w:tcPr>
            <w:tcW w:w="1560" w:type="dxa"/>
          </w:tcPr>
          <w:p w14:paraId="184B012D" w14:textId="0B91B615" w:rsidR="002576E5" w:rsidRPr="007C14AA" w:rsidRDefault="002576E5" w:rsidP="0065420A">
            <w:pPr>
              <w:rPr>
                <w:rFonts w:ascii="Verdana" w:eastAsia="Verdana" w:hAnsi="Verdana" w:cs="Verdana"/>
                <w:sz w:val="16"/>
                <w:szCs w:val="16"/>
                <w:lang w:val="fr-FR"/>
              </w:rPr>
            </w:pPr>
            <w:r w:rsidRPr="007C14AA">
              <w:rPr>
                <w:rFonts w:ascii="Verdana" w:eastAsia="Verdana" w:hAnsi="Verdana" w:cs="Verdana"/>
                <w:sz w:val="16"/>
                <w:szCs w:val="16"/>
                <w:lang w:val="fr-FR"/>
              </w:rPr>
              <w:t>60</w:t>
            </w:r>
            <w:r w:rsidR="009D0DC7" w:rsidRPr="007C14AA">
              <w:rPr>
                <w:rFonts w:ascii="Verdana" w:eastAsia="Verdana" w:hAnsi="Verdana" w:cs="Verdana"/>
                <w:sz w:val="16"/>
                <w:szCs w:val="16"/>
                <w:lang w:val="fr-FR"/>
              </w:rPr>
              <w:t> </w:t>
            </w:r>
            <w:r w:rsidRPr="007C14AA">
              <w:rPr>
                <w:rFonts w:ascii="Verdana" w:eastAsia="Verdana" w:hAnsi="Verdana" w:cs="Verdana"/>
                <w:sz w:val="16"/>
                <w:szCs w:val="16"/>
                <w:lang w:val="fr-FR"/>
              </w:rPr>
              <w:t>000</w:t>
            </w:r>
          </w:p>
        </w:tc>
        <w:tc>
          <w:tcPr>
            <w:tcW w:w="1560" w:type="dxa"/>
          </w:tcPr>
          <w:p w14:paraId="1078CB61" w14:textId="3E0ACA41" w:rsidR="002576E5" w:rsidRPr="007C14AA" w:rsidRDefault="002576E5" w:rsidP="0065420A">
            <w:pPr>
              <w:rPr>
                <w:rFonts w:ascii="Verdana" w:eastAsia="Verdana" w:hAnsi="Verdana" w:cs="Verdana"/>
                <w:sz w:val="16"/>
                <w:szCs w:val="16"/>
                <w:lang w:val="fr-FR"/>
              </w:rPr>
            </w:pPr>
            <w:r w:rsidRPr="007C14AA">
              <w:rPr>
                <w:rFonts w:ascii="Verdana" w:eastAsia="Verdana" w:hAnsi="Verdana" w:cs="Verdana"/>
                <w:sz w:val="16"/>
                <w:szCs w:val="16"/>
                <w:lang w:val="fr-FR"/>
              </w:rPr>
              <w:t>50</w:t>
            </w:r>
            <w:r w:rsidR="009D0DC7" w:rsidRPr="007C14AA">
              <w:rPr>
                <w:rFonts w:ascii="Verdana" w:eastAsia="Verdana" w:hAnsi="Verdana" w:cs="Verdana"/>
                <w:sz w:val="16"/>
                <w:szCs w:val="16"/>
                <w:lang w:val="fr-FR"/>
              </w:rPr>
              <w:t> </w:t>
            </w:r>
            <w:r w:rsidRPr="007C14AA">
              <w:rPr>
                <w:rFonts w:ascii="Verdana" w:eastAsia="Verdana" w:hAnsi="Verdana" w:cs="Verdana"/>
                <w:sz w:val="16"/>
                <w:szCs w:val="16"/>
                <w:lang w:val="fr-FR"/>
              </w:rPr>
              <w:t>000</w:t>
            </w:r>
          </w:p>
        </w:tc>
        <w:tc>
          <w:tcPr>
            <w:tcW w:w="1560" w:type="dxa"/>
          </w:tcPr>
          <w:p w14:paraId="051F0C47" w14:textId="31549D6F" w:rsidR="002576E5" w:rsidRPr="007C14AA" w:rsidRDefault="002576E5" w:rsidP="0065420A">
            <w:pPr>
              <w:rPr>
                <w:rFonts w:ascii="Verdana" w:eastAsia="Verdana" w:hAnsi="Verdana" w:cs="Verdana"/>
                <w:sz w:val="16"/>
                <w:szCs w:val="16"/>
                <w:lang w:val="fr-FR"/>
              </w:rPr>
            </w:pPr>
            <w:r w:rsidRPr="007C14AA">
              <w:rPr>
                <w:rFonts w:ascii="Verdana" w:eastAsia="Verdana" w:hAnsi="Verdana" w:cs="Verdana"/>
                <w:sz w:val="16"/>
                <w:szCs w:val="16"/>
                <w:lang w:val="fr-FR"/>
              </w:rPr>
              <w:t>6</w:t>
            </w:r>
            <w:r w:rsidR="009D0DC7" w:rsidRPr="007C14AA">
              <w:rPr>
                <w:rFonts w:ascii="Verdana" w:eastAsia="Verdana" w:hAnsi="Verdana" w:cs="Verdana"/>
                <w:sz w:val="16"/>
                <w:szCs w:val="16"/>
                <w:lang w:val="fr-FR"/>
              </w:rPr>
              <w:t> </w:t>
            </w:r>
            <w:r w:rsidRPr="007C14AA">
              <w:rPr>
                <w:rFonts w:ascii="Verdana" w:eastAsia="Verdana" w:hAnsi="Verdana" w:cs="Verdana"/>
                <w:sz w:val="16"/>
                <w:szCs w:val="16"/>
                <w:lang w:val="fr-FR"/>
              </w:rPr>
              <w:t>600</w:t>
            </w:r>
          </w:p>
        </w:tc>
        <w:tc>
          <w:tcPr>
            <w:tcW w:w="1560" w:type="dxa"/>
          </w:tcPr>
          <w:p w14:paraId="1326B093" w14:textId="28DD4CB6" w:rsidR="002576E5" w:rsidRPr="007C14AA" w:rsidRDefault="002576E5" w:rsidP="0065420A">
            <w:pPr>
              <w:rPr>
                <w:rFonts w:ascii="Verdana" w:eastAsia="Verdana" w:hAnsi="Verdana" w:cs="Verdana"/>
                <w:sz w:val="16"/>
                <w:szCs w:val="16"/>
                <w:lang w:val="fr-FR"/>
              </w:rPr>
            </w:pPr>
            <w:r w:rsidRPr="007C14AA">
              <w:rPr>
                <w:rFonts w:ascii="Verdana" w:eastAsia="Verdana" w:hAnsi="Verdana" w:cs="Verdana"/>
                <w:sz w:val="16"/>
                <w:szCs w:val="16"/>
                <w:lang w:val="fr-FR"/>
              </w:rPr>
              <w:t>5</w:t>
            </w:r>
            <w:r w:rsidR="009D0DC7" w:rsidRPr="007C14AA">
              <w:rPr>
                <w:rFonts w:ascii="Verdana" w:eastAsia="Verdana" w:hAnsi="Verdana" w:cs="Verdana"/>
                <w:sz w:val="16"/>
                <w:szCs w:val="16"/>
                <w:lang w:val="fr-FR"/>
              </w:rPr>
              <w:t> </w:t>
            </w:r>
            <w:r w:rsidRPr="007C14AA">
              <w:rPr>
                <w:rFonts w:ascii="Verdana" w:eastAsia="Verdana" w:hAnsi="Verdana" w:cs="Verdana"/>
                <w:sz w:val="16"/>
                <w:szCs w:val="16"/>
                <w:lang w:val="fr-FR"/>
              </w:rPr>
              <w:t>800</w:t>
            </w:r>
          </w:p>
        </w:tc>
        <w:tc>
          <w:tcPr>
            <w:tcW w:w="1560" w:type="dxa"/>
          </w:tcPr>
          <w:p w14:paraId="4E50B465" w14:textId="15AC152A" w:rsidR="002576E5" w:rsidRPr="007C14AA" w:rsidRDefault="002576E5" w:rsidP="0065420A">
            <w:pPr>
              <w:rPr>
                <w:rFonts w:ascii="Verdana" w:eastAsia="Verdana" w:hAnsi="Verdana" w:cs="Verdana"/>
                <w:sz w:val="16"/>
                <w:szCs w:val="16"/>
                <w:lang w:val="fr-FR"/>
              </w:rPr>
            </w:pPr>
            <w:r w:rsidRPr="007C14AA">
              <w:rPr>
                <w:rFonts w:ascii="Verdana" w:eastAsia="Verdana" w:hAnsi="Verdana" w:cs="Verdana"/>
                <w:sz w:val="16"/>
                <w:szCs w:val="16"/>
                <w:lang w:val="fr-FR"/>
              </w:rPr>
              <w:t>5</w:t>
            </w:r>
            <w:r w:rsidR="009D0DC7" w:rsidRPr="007C14AA">
              <w:rPr>
                <w:rFonts w:ascii="Verdana" w:eastAsia="Verdana" w:hAnsi="Verdana" w:cs="Verdana"/>
                <w:sz w:val="16"/>
                <w:szCs w:val="16"/>
                <w:lang w:val="fr-FR"/>
              </w:rPr>
              <w:t> </w:t>
            </w:r>
            <w:r w:rsidRPr="007C14AA">
              <w:rPr>
                <w:rFonts w:ascii="Verdana" w:eastAsia="Verdana" w:hAnsi="Verdana" w:cs="Verdana"/>
                <w:sz w:val="16"/>
                <w:szCs w:val="16"/>
                <w:lang w:val="fr-FR"/>
              </w:rPr>
              <w:t>300</w:t>
            </w:r>
          </w:p>
        </w:tc>
      </w:tr>
      <w:tr w:rsidR="002576E5" w:rsidRPr="007C14AA" w14:paraId="698F23BE" w14:textId="77777777" w:rsidTr="0065420A">
        <w:trPr>
          <w:trHeight w:val="300"/>
        </w:trPr>
        <w:tc>
          <w:tcPr>
            <w:tcW w:w="9360" w:type="dxa"/>
            <w:gridSpan w:val="6"/>
          </w:tcPr>
          <w:p w14:paraId="79205CA5" w14:textId="29905755" w:rsidR="002576E5" w:rsidRPr="007C14AA" w:rsidRDefault="002576E5" w:rsidP="0065420A">
            <w:pPr>
              <w:rPr>
                <w:rFonts w:ascii="Verdana" w:eastAsia="Verdana" w:hAnsi="Verdana" w:cs="Verdana"/>
                <w:b/>
                <w:bCs/>
                <w:sz w:val="16"/>
                <w:szCs w:val="16"/>
                <w:lang w:val="fr-FR"/>
              </w:rPr>
            </w:pPr>
            <w:r w:rsidRPr="007C14AA">
              <w:rPr>
                <w:rFonts w:ascii="Verdana" w:eastAsia="Verdana" w:hAnsi="Verdana" w:cs="Verdana"/>
                <w:b/>
                <w:bCs/>
                <w:sz w:val="16"/>
                <w:szCs w:val="16"/>
                <w:lang w:val="fr-FR"/>
              </w:rPr>
              <w:t xml:space="preserve">Adolescents </w:t>
            </w:r>
            <w:r w:rsidR="00152F15" w:rsidRPr="007C14AA">
              <w:rPr>
                <w:rFonts w:ascii="Verdana" w:eastAsia="Verdana" w:hAnsi="Verdana" w:cs="Verdana"/>
                <w:b/>
                <w:bCs/>
                <w:sz w:val="16"/>
                <w:szCs w:val="16"/>
                <w:lang w:val="fr-FR"/>
              </w:rPr>
              <w:t xml:space="preserve">âgés de </w:t>
            </w:r>
            <w:r w:rsidRPr="007C14AA">
              <w:rPr>
                <w:rFonts w:ascii="Verdana" w:eastAsia="Verdana" w:hAnsi="Verdana" w:cs="Verdana"/>
                <w:b/>
                <w:bCs/>
                <w:sz w:val="16"/>
                <w:szCs w:val="16"/>
                <w:lang w:val="fr-FR"/>
              </w:rPr>
              <w:t>15</w:t>
            </w:r>
            <w:r w:rsidR="00152F15" w:rsidRPr="007C14AA">
              <w:rPr>
                <w:rFonts w:ascii="Verdana" w:eastAsia="Verdana" w:hAnsi="Verdana" w:cs="Verdana"/>
                <w:b/>
                <w:bCs/>
                <w:sz w:val="16"/>
                <w:szCs w:val="16"/>
                <w:lang w:val="fr-FR"/>
              </w:rPr>
              <w:t xml:space="preserve"> à </w:t>
            </w:r>
            <w:r w:rsidRPr="007C14AA">
              <w:rPr>
                <w:rFonts w:ascii="Verdana" w:eastAsia="Verdana" w:hAnsi="Verdana" w:cs="Verdana"/>
                <w:b/>
                <w:bCs/>
                <w:sz w:val="16"/>
                <w:szCs w:val="16"/>
                <w:lang w:val="fr-FR"/>
              </w:rPr>
              <w:t>19</w:t>
            </w:r>
            <w:r w:rsidR="00152F15" w:rsidRPr="007C14AA">
              <w:rPr>
                <w:rFonts w:ascii="Verdana" w:eastAsia="Verdana" w:hAnsi="Verdana" w:cs="Verdana"/>
                <w:b/>
                <w:bCs/>
                <w:sz w:val="16"/>
                <w:szCs w:val="16"/>
                <w:lang w:val="fr-FR"/>
              </w:rPr>
              <w:t> ans</w:t>
            </w:r>
          </w:p>
        </w:tc>
      </w:tr>
      <w:tr w:rsidR="002576E5" w:rsidRPr="007C14AA" w14:paraId="4812DC0F" w14:textId="77777777" w:rsidTr="0065420A">
        <w:trPr>
          <w:trHeight w:val="300"/>
        </w:trPr>
        <w:tc>
          <w:tcPr>
            <w:tcW w:w="1560" w:type="dxa"/>
          </w:tcPr>
          <w:p w14:paraId="335B2F54" w14:textId="347A64BD" w:rsidR="002576E5" w:rsidRPr="007C14AA" w:rsidRDefault="00152F15" w:rsidP="0065420A">
            <w:pPr>
              <w:rPr>
                <w:rFonts w:ascii="Verdana" w:eastAsia="Verdana" w:hAnsi="Verdana" w:cs="Verdana"/>
                <w:b/>
                <w:bCs/>
                <w:sz w:val="16"/>
                <w:szCs w:val="16"/>
                <w:lang w:val="fr-FR"/>
              </w:rPr>
            </w:pPr>
            <w:r w:rsidRPr="007C14AA">
              <w:rPr>
                <w:rFonts w:ascii="Verdana" w:eastAsia="Verdana" w:hAnsi="Verdana" w:cs="Verdana"/>
                <w:b/>
                <w:bCs/>
                <w:sz w:val="16"/>
                <w:szCs w:val="16"/>
                <w:lang w:val="fr-FR"/>
              </w:rPr>
              <w:t xml:space="preserve">Population séropositive </w:t>
            </w:r>
          </w:p>
        </w:tc>
        <w:tc>
          <w:tcPr>
            <w:tcW w:w="1560" w:type="dxa"/>
          </w:tcPr>
          <w:p w14:paraId="4C33744B" w14:textId="0023E129" w:rsidR="002576E5" w:rsidRPr="007C14AA" w:rsidRDefault="002576E5" w:rsidP="0065420A">
            <w:pPr>
              <w:rPr>
                <w:rFonts w:ascii="Verdana" w:eastAsia="Verdana" w:hAnsi="Verdana" w:cs="Verdana"/>
                <w:sz w:val="16"/>
                <w:szCs w:val="16"/>
                <w:lang w:val="fr-FR"/>
              </w:rPr>
            </w:pPr>
            <w:r w:rsidRPr="007C14AA">
              <w:rPr>
                <w:rFonts w:ascii="Verdana" w:eastAsia="Verdana" w:hAnsi="Verdana" w:cs="Verdana"/>
                <w:sz w:val="16"/>
                <w:szCs w:val="16"/>
                <w:lang w:val="fr-FR"/>
              </w:rPr>
              <w:t>690</w:t>
            </w:r>
            <w:r w:rsidR="009D0DC7" w:rsidRPr="007C14AA">
              <w:rPr>
                <w:rFonts w:ascii="Verdana" w:eastAsia="Verdana" w:hAnsi="Verdana" w:cs="Verdana"/>
                <w:sz w:val="16"/>
                <w:szCs w:val="16"/>
                <w:lang w:val="fr-FR"/>
              </w:rPr>
              <w:t> </w:t>
            </w:r>
            <w:r w:rsidRPr="007C14AA">
              <w:rPr>
                <w:rFonts w:ascii="Verdana" w:eastAsia="Verdana" w:hAnsi="Verdana" w:cs="Verdana"/>
                <w:sz w:val="16"/>
                <w:szCs w:val="16"/>
                <w:lang w:val="fr-FR"/>
              </w:rPr>
              <w:t>000</w:t>
            </w:r>
          </w:p>
        </w:tc>
        <w:tc>
          <w:tcPr>
            <w:tcW w:w="1560" w:type="dxa"/>
          </w:tcPr>
          <w:p w14:paraId="6D0145B9" w14:textId="32C84C28" w:rsidR="002576E5" w:rsidRPr="007C14AA" w:rsidRDefault="002576E5" w:rsidP="0065420A">
            <w:pPr>
              <w:rPr>
                <w:rFonts w:ascii="Verdana" w:eastAsia="Verdana" w:hAnsi="Verdana" w:cs="Verdana"/>
                <w:sz w:val="16"/>
                <w:szCs w:val="16"/>
                <w:lang w:val="fr-FR"/>
              </w:rPr>
            </w:pPr>
            <w:r w:rsidRPr="007C14AA">
              <w:rPr>
                <w:rFonts w:ascii="Verdana" w:eastAsia="Verdana" w:hAnsi="Verdana" w:cs="Verdana"/>
                <w:sz w:val="16"/>
                <w:szCs w:val="16"/>
                <w:lang w:val="fr-FR"/>
              </w:rPr>
              <w:t>180</w:t>
            </w:r>
            <w:r w:rsidR="009D0DC7" w:rsidRPr="007C14AA">
              <w:rPr>
                <w:rFonts w:ascii="Verdana" w:eastAsia="Verdana" w:hAnsi="Verdana" w:cs="Verdana"/>
                <w:sz w:val="16"/>
                <w:szCs w:val="16"/>
                <w:lang w:val="fr-FR"/>
              </w:rPr>
              <w:t> </w:t>
            </w:r>
            <w:r w:rsidRPr="007C14AA">
              <w:rPr>
                <w:rFonts w:ascii="Verdana" w:eastAsia="Verdana" w:hAnsi="Verdana" w:cs="Verdana"/>
                <w:sz w:val="16"/>
                <w:szCs w:val="16"/>
                <w:lang w:val="fr-FR"/>
              </w:rPr>
              <w:t>000</w:t>
            </w:r>
          </w:p>
        </w:tc>
        <w:tc>
          <w:tcPr>
            <w:tcW w:w="1560" w:type="dxa"/>
          </w:tcPr>
          <w:p w14:paraId="64DCBA4C" w14:textId="4F2C05DB" w:rsidR="002576E5" w:rsidRPr="007C14AA" w:rsidRDefault="002576E5" w:rsidP="0065420A">
            <w:pPr>
              <w:rPr>
                <w:rFonts w:ascii="Verdana" w:eastAsia="Verdana" w:hAnsi="Verdana" w:cs="Verdana"/>
                <w:sz w:val="16"/>
                <w:szCs w:val="16"/>
                <w:lang w:val="fr-FR"/>
              </w:rPr>
            </w:pPr>
            <w:r w:rsidRPr="007C14AA">
              <w:rPr>
                <w:rFonts w:ascii="Verdana" w:eastAsia="Verdana" w:hAnsi="Verdana" w:cs="Verdana"/>
                <w:sz w:val="16"/>
                <w:szCs w:val="16"/>
                <w:lang w:val="fr-FR"/>
              </w:rPr>
              <w:t>48</w:t>
            </w:r>
            <w:r w:rsidR="00031476" w:rsidRPr="007C14AA">
              <w:rPr>
                <w:rFonts w:ascii="Verdana" w:eastAsia="Verdana" w:hAnsi="Verdana" w:cs="Verdana"/>
                <w:sz w:val="16"/>
                <w:szCs w:val="16"/>
                <w:lang w:val="fr-FR"/>
              </w:rPr>
              <w:t> </w:t>
            </w:r>
            <w:r w:rsidRPr="007C14AA">
              <w:rPr>
                <w:rFonts w:ascii="Verdana" w:eastAsia="Verdana" w:hAnsi="Verdana" w:cs="Verdana"/>
                <w:sz w:val="16"/>
                <w:szCs w:val="16"/>
                <w:lang w:val="fr-FR"/>
              </w:rPr>
              <w:t>000</w:t>
            </w:r>
          </w:p>
        </w:tc>
        <w:tc>
          <w:tcPr>
            <w:tcW w:w="1560" w:type="dxa"/>
          </w:tcPr>
          <w:p w14:paraId="02E3EBA0" w14:textId="2886AD82" w:rsidR="002576E5" w:rsidRPr="007C14AA" w:rsidRDefault="002576E5" w:rsidP="0065420A">
            <w:pPr>
              <w:rPr>
                <w:rFonts w:ascii="Verdana" w:eastAsia="Verdana" w:hAnsi="Verdana" w:cs="Verdana"/>
                <w:sz w:val="16"/>
                <w:szCs w:val="16"/>
                <w:lang w:val="fr-FR"/>
              </w:rPr>
            </w:pPr>
            <w:r w:rsidRPr="007C14AA">
              <w:rPr>
                <w:rFonts w:ascii="Verdana" w:eastAsia="Verdana" w:hAnsi="Verdana" w:cs="Verdana"/>
                <w:sz w:val="16"/>
                <w:szCs w:val="16"/>
                <w:lang w:val="fr-FR"/>
              </w:rPr>
              <w:t>58</w:t>
            </w:r>
            <w:r w:rsidR="00031476" w:rsidRPr="007C14AA">
              <w:rPr>
                <w:rFonts w:ascii="Verdana" w:eastAsia="Verdana" w:hAnsi="Verdana" w:cs="Verdana"/>
                <w:sz w:val="16"/>
                <w:szCs w:val="16"/>
                <w:lang w:val="fr-FR"/>
              </w:rPr>
              <w:t> </w:t>
            </w:r>
            <w:r w:rsidRPr="007C14AA">
              <w:rPr>
                <w:rFonts w:ascii="Verdana" w:eastAsia="Verdana" w:hAnsi="Verdana" w:cs="Verdana"/>
                <w:sz w:val="16"/>
                <w:szCs w:val="16"/>
                <w:lang w:val="fr-FR"/>
              </w:rPr>
              <w:t>000</w:t>
            </w:r>
          </w:p>
        </w:tc>
        <w:tc>
          <w:tcPr>
            <w:tcW w:w="1560" w:type="dxa"/>
          </w:tcPr>
          <w:p w14:paraId="7CD30FD2" w14:textId="151F7122" w:rsidR="002576E5" w:rsidRPr="007C14AA" w:rsidRDefault="002576E5" w:rsidP="0065420A">
            <w:pPr>
              <w:rPr>
                <w:rFonts w:ascii="Verdana" w:eastAsia="Verdana" w:hAnsi="Verdana" w:cs="Verdana"/>
                <w:sz w:val="16"/>
                <w:szCs w:val="16"/>
                <w:lang w:val="fr-FR"/>
              </w:rPr>
            </w:pPr>
            <w:r w:rsidRPr="007C14AA">
              <w:rPr>
                <w:rFonts w:ascii="Verdana" w:eastAsia="Verdana" w:hAnsi="Verdana" w:cs="Verdana"/>
                <w:sz w:val="16"/>
                <w:szCs w:val="16"/>
                <w:lang w:val="fr-FR"/>
              </w:rPr>
              <w:t>43</w:t>
            </w:r>
            <w:r w:rsidR="00031476" w:rsidRPr="007C14AA">
              <w:rPr>
                <w:rFonts w:ascii="Verdana" w:eastAsia="Verdana" w:hAnsi="Verdana" w:cs="Verdana"/>
                <w:sz w:val="16"/>
                <w:szCs w:val="16"/>
                <w:lang w:val="fr-FR"/>
              </w:rPr>
              <w:t> </w:t>
            </w:r>
            <w:r w:rsidRPr="007C14AA">
              <w:rPr>
                <w:rFonts w:ascii="Verdana" w:eastAsia="Verdana" w:hAnsi="Verdana" w:cs="Verdana"/>
                <w:sz w:val="16"/>
                <w:szCs w:val="16"/>
                <w:lang w:val="fr-FR"/>
              </w:rPr>
              <w:t>000</w:t>
            </w:r>
          </w:p>
        </w:tc>
      </w:tr>
      <w:tr w:rsidR="002576E5" w:rsidRPr="007C14AA" w14:paraId="3A6EAA00" w14:textId="77777777" w:rsidTr="0065420A">
        <w:trPr>
          <w:trHeight w:val="300"/>
        </w:trPr>
        <w:tc>
          <w:tcPr>
            <w:tcW w:w="1560" w:type="dxa"/>
          </w:tcPr>
          <w:p w14:paraId="16910418" w14:textId="0B3A7509" w:rsidR="002576E5" w:rsidRPr="007C14AA" w:rsidRDefault="00152F15" w:rsidP="0065420A">
            <w:pPr>
              <w:rPr>
                <w:rFonts w:ascii="Verdana" w:eastAsia="Verdana" w:hAnsi="Verdana" w:cs="Verdana"/>
                <w:b/>
                <w:bCs/>
                <w:sz w:val="16"/>
                <w:szCs w:val="16"/>
                <w:lang w:val="fr-FR"/>
              </w:rPr>
            </w:pPr>
            <w:r w:rsidRPr="007C14AA">
              <w:rPr>
                <w:rFonts w:ascii="Verdana" w:eastAsia="Verdana" w:hAnsi="Verdana" w:cs="Verdana"/>
                <w:b/>
                <w:bCs/>
                <w:sz w:val="16"/>
                <w:szCs w:val="16"/>
                <w:lang w:val="fr-FR"/>
              </w:rPr>
              <w:t>Nouveaux cas d’infection</w:t>
            </w:r>
            <w:r w:rsidR="009D0DC7" w:rsidRPr="007C14AA">
              <w:rPr>
                <w:rFonts w:ascii="Verdana" w:eastAsia="Verdana" w:hAnsi="Verdana" w:cs="Verdana"/>
                <w:b/>
                <w:bCs/>
                <w:sz w:val="16"/>
                <w:szCs w:val="16"/>
                <w:lang w:val="fr-FR"/>
              </w:rPr>
              <w:t xml:space="preserve"> en</w:t>
            </w:r>
            <w:r w:rsidR="002576E5" w:rsidRPr="007C14AA">
              <w:rPr>
                <w:rFonts w:ascii="Verdana" w:eastAsia="Verdana" w:hAnsi="Verdana" w:cs="Verdana"/>
                <w:b/>
                <w:bCs/>
                <w:sz w:val="16"/>
                <w:szCs w:val="16"/>
                <w:lang w:val="fr-FR"/>
              </w:rPr>
              <w:t xml:space="preserve"> 2022</w:t>
            </w:r>
          </w:p>
        </w:tc>
        <w:tc>
          <w:tcPr>
            <w:tcW w:w="1560" w:type="dxa"/>
          </w:tcPr>
          <w:p w14:paraId="5456BB9F" w14:textId="3417FE31" w:rsidR="002576E5" w:rsidRPr="007C14AA" w:rsidRDefault="002576E5" w:rsidP="0065420A">
            <w:pPr>
              <w:rPr>
                <w:rFonts w:ascii="Verdana" w:eastAsia="Verdana" w:hAnsi="Verdana" w:cs="Verdana"/>
                <w:sz w:val="16"/>
                <w:szCs w:val="16"/>
                <w:lang w:val="fr-FR"/>
              </w:rPr>
            </w:pPr>
            <w:r w:rsidRPr="007C14AA">
              <w:rPr>
                <w:rFonts w:ascii="Verdana" w:eastAsia="Verdana" w:hAnsi="Verdana" w:cs="Verdana"/>
                <w:sz w:val="16"/>
                <w:szCs w:val="16"/>
                <w:lang w:val="fr-FR"/>
              </w:rPr>
              <w:t>77</w:t>
            </w:r>
            <w:r w:rsidR="00031476" w:rsidRPr="007C14AA">
              <w:rPr>
                <w:rFonts w:ascii="Verdana" w:eastAsia="Verdana" w:hAnsi="Verdana" w:cs="Verdana"/>
                <w:sz w:val="16"/>
                <w:szCs w:val="16"/>
                <w:lang w:val="fr-FR"/>
              </w:rPr>
              <w:t> </w:t>
            </w:r>
            <w:r w:rsidRPr="007C14AA">
              <w:rPr>
                <w:rFonts w:ascii="Verdana" w:eastAsia="Verdana" w:hAnsi="Verdana" w:cs="Verdana"/>
                <w:sz w:val="16"/>
                <w:szCs w:val="16"/>
                <w:lang w:val="fr-FR"/>
              </w:rPr>
              <w:t>000</w:t>
            </w:r>
          </w:p>
        </w:tc>
        <w:tc>
          <w:tcPr>
            <w:tcW w:w="1560" w:type="dxa"/>
          </w:tcPr>
          <w:p w14:paraId="1E68B7BA" w14:textId="0E6E73A7" w:rsidR="002576E5" w:rsidRPr="007C14AA" w:rsidRDefault="002576E5" w:rsidP="0065420A">
            <w:pPr>
              <w:rPr>
                <w:rFonts w:ascii="Verdana" w:eastAsia="Verdana" w:hAnsi="Verdana" w:cs="Verdana"/>
                <w:sz w:val="16"/>
                <w:szCs w:val="16"/>
                <w:lang w:val="fr-FR"/>
              </w:rPr>
            </w:pPr>
            <w:r w:rsidRPr="007C14AA">
              <w:rPr>
                <w:rFonts w:ascii="Verdana" w:eastAsia="Verdana" w:hAnsi="Verdana" w:cs="Verdana"/>
                <w:sz w:val="16"/>
                <w:szCs w:val="16"/>
                <w:lang w:val="fr-FR"/>
              </w:rPr>
              <w:t>16</w:t>
            </w:r>
            <w:r w:rsidR="00031476" w:rsidRPr="007C14AA">
              <w:rPr>
                <w:rFonts w:ascii="Verdana" w:eastAsia="Verdana" w:hAnsi="Verdana" w:cs="Verdana"/>
                <w:sz w:val="16"/>
                <w:szCs w:val="16"/>
                <w:lang w:val="fr-FR"/>
              </w:rPr>
              <w:t> </w:t>
            </w:r>
            <w:r w:rsidRPr="007C14AA">
              <w:rPr>
                <w:rFonts w:ascii="Verdana" w:eastAsia="Verdana" w:hAnsi="Verdana" w:cs="Verdana"/>
                <w:sz w:val="16"/>
                <w:szCs w:val="16"/>
                <w:lang w:val="fr-FR"/>
              </w:rPr>
              <w:t>000</w:t>
            </w:r>
          </w:p>
        </w:tc>
        <w:tc>
          <w:tcPr>
            <w:tcW w:w="1560" w:type="dxa"/>
          </w:tcPr>
          <w:p w14:paraId="325D22CD" w14:textId="3E97B364" w:rsidR="002576E5" w:rsidRPr="007C14AA" w:rsidRDefault="002576E5" w:rsidP="0065420A">
            <w:pPr>
              <w:rPr>
                <w:rFonts w:ascii="Verdana" w:eastAsia="Verdana" w:hAnsi="Verdana" w:cs="Verdana"/>
                <w:sz w:val="16"/>
                <w:szCs w:val="16"/>
                <w:lang w:val="fr-FR"/>
              </w:rPr>
            </w:pPr>
            <w:r w:rsidRPr="007C14AA">
              <w:rPr>
                <w:rFonts w:ascii="Verdana" w:eastAsia="Verdana" w:hAnsi="Verdana" w:cs="Verdana"/>
                <w:sz w:val="16"/>
                <w:szCs w:val="16"/>
                <w:lang w:val="fr-FR"/>
              </w:rPr>
              <w:t>15</w:t>
            </w:r>
            <w:r w:rsidR="00031476" w:rsidRPr="007C14AA">
              <w:rPr>
                <w:rFonts w:ascii="Verdana" w:eastAsia="Verdana" w:hAnsi="Verdana" w:cs="Verdana"/>
                <w:sz w:val="16"/>
                <w:szCs w:val="16"/>
                <w:lang w:val="fr-FR"/>
              </w:rPr>
              <w:t> </w:t>
            </w:r>
            <w:r w:rsidRPr="007C14AA">
              <w:rPr>
                <w:rFonts w:ascii="Verdana" w:eastAsia="Verdana" w:hAnsi="Verdana" w:cs="Verdana"/>
                <w:sz w:val="16"/>
                <w:szCs w:val="16"/>
                <w:lang w:val="fr-FR"/>
              </w:rPr>
              <w:t>000</w:t>
            </w:r>
          </w:p>
        </w:tc>
        <w:tc>
          <w:tcPr>
            <w:tcW w:w="1560" w:type="dxa"/>
          </w:tcPr>
          <w:p w14:paraId="3A0CF035" w14:textId="43C6F3DE" w:rsidR="002576E5" w:rsidRPr="007C14AA" w:rsidRDefault="002576E5" w:rsidP="0065420A">
            <w:pPr>
              <w:rPr>
                <w:rFonts w:ascii="Verdana" w:eastAsia="Verdana" w:hAnsi="Verdana" w:cs="Verdana"/>
                <w:sz w:val="16"/>
                <w:szCs w:val="16"/>
                <w:lang w:val="fr-FR"/>
              </w:rPr>
            </w:pPr>
            <w:r w:rsidRPr="007C14AA">
              <w:rPr>
                <w:rFonts w:ascii="Verdana" w:eastAsia="Verdana" w:hAnsi="Verdana" w:cs="Verdana"/>
                <w:sz w:val="16"/>
                <w:szCs w:val="16"/>
                <w:lang w:val="fr-FR"/>
              </w:rPr>
              <w:t>8</w:t>
            </w:r>
            <w:r w:rsidR="00031476" w:rsidRPr="007C14AA">
              <w:rPr>
                <w:rFonts w:ascii="Verdana" w:eastAsia="Verdana" w:hAnsi="Verdana" w:cs="Verdana"/>
                <w:sz w:val="16"/>
                <w:szCs w:val="16"/>
                <w:lang w:val="fr-FR"/>
              </w:rPr>
              <w:t> </w:t>
            </w:r>
            <w:r w:rsidRPr="007C14AA">
              <w:rPr>
                <w:rFonts w:ascii="Verdana" w:eastAsia="Verdana" w:hAnsi="Verdana" w:cs="Verdana"/>
                <w:sz w:val="16"/>
                <w:szCs w:val="16"/>
                <w:lang w:val="fr-FR"/>
              </w:rPr>
              <w:t>600</w:t>
            </w:r>
          </w:p>
        </w:tc>
        <w:tc>
          <w:tcPr>
            <w:tcW w:w="1560" w:type="dxa"/>
          </w:tcPr>
          <w:p w14:paraId="1D680403" w14:textId="38214765" w:rsidR="002576E5" w:rsidRPr="007C14AA" w:rsidRDefault="002576E5" w:rsidP="0065420A">
            <w:pPr>
              <w:rPr>
                <w:rFonts w:ascii="Verdana" w:eastAsia="Verdana" w:hAnsi="Verdana" w:cs="Verdana"/>
                <w:sz w:val="16"/>
                <w:szCs w:val="16"/>
                <w:lang w:val="fr-FR"/>
              </w:rPr>
            </w:pPr>
            <w:r w:rsidRPr="007C14AA">
              <w:rPr>
                <w:rFonts w:ascii="Verdana" w:eastAsia="Verdana" w:hAnsi="Verdana" w:cs="Verdana"/>
                <w:sz w:val="16"/>
                <w:szCs w:val="16"/>
                <w:lang w:val="fr-FR"/>
              </w:rPr>
              <w:t>11</w:t>
            </w:r>
            <w:r w:rsidR="00031476" w:rsidRPr="007C14AA">
              <w:rPr>
                <w:rFonts w:ascii="Verdana" w:eastAsia="Verdana" w:hAnsi="Verdana" w:cs="Verdana"/>
                <w:sz w:val="16"/>
                <w:szCs w:val="16"/>
                <w:lang w:val="fr-FR"/>
              </w:rPr>
              <w:t> </w:t>
            </w:r>
            <w:r w:rsidRPr="007C14AA">
              <w:rPr>
                <w:rFonts w:ascii="Verdana" w:eastAsia="Verdana" w:hAnsi="Verdana" w:cs="Verdana"/>
                <w:sz w:val="16"/>
                <w:szCs w:val="16"/>
                <w:lang w:val="fr-FR"/>
              </w:rPr>
              <w:t>000</w:t>
            </w:r>
          </w:p>
        </w:tc>
      </w:tr>
    </w:tbl>
    <w:p w14:paraId="3424F6EB" w14:textId="6D1677B4" w:rsidR="00B61D68" w:rsidRPr="007C14AA" w:rsidRDefault="00E1608E" w:rsidP="00B61D68">
      <w:pPr>
        <w:rPr>
          <w:rFonts w:ascii="Verdana" w:hAnsi="Verdana"/>
          <w:b/>
          <w:bCs/>
          <w:color w:val="000000"/>
          <w:sz w:val="20"/>
          <w:szCs w:val="20"/>
          <w:lang w:val="fr-FR"/>
        </w:rPr>
      </w:pPr>
      <w:r w:rsidRPr="007C14AA">
        <w:rPr>
          <w:i/>
          <w:iCs/>
          <w:lang w:val="fr-FR"/>
        </w:rPr>
        <w:t>*</w:t>
      </w:r>
      <w:r w:rsidR="00031476" w:rsidRPr="007C14AA">
        <w:rPr>
          <w:rStyle w:val="Strong"/>
          <w:b w:val="0"/>
          <w:bCs w:val="0"/>
          <w:i/>
          <w:iCs/>
          <w:lang w:val="fr-FR"/>
        </w:rPr>
        <w:t>Remarque </w:t>
      </w:r>
      <w:r w:rsidRPr="007C14AA">
        <w:rPr>
          <w:rStyle w:val="Strong"/>
          <w:b w:val="0"/>
          <w:bCs w:val="0"/>
          <w:i/>
          <w:iCs/>
          <w:lang w:val="fr-FR"/>
        </w:rPr>
        <w:t xml:space="preserve">: </w:t>
      </w:r>
      <w:r w:rsidR="004A4156" w:rsidRPr="007C14AA">
        <w:rPr>
          <w:rStyle w:val="Strong"/>
          <w:b w:val="0"/>
          <w:bCs w:val="0"/>
          <w:i/>
          <w:iCs/>
          <w:lang w:val="fr-FR"/>
        </w:rPr>
        <w:t>Les chiffres ayant été arrondis, leur somme peut ne pas correspondre au total</w:t>
      </w:r>
      <w:r w:rsidR="002579AB" w:rsidRPr="007C14AA">
        <w:rPr>
          <w:rStyle w:val="Strong"/>
          <w:b w:val="0"/>
          <w:bCs w:val="0"/>
          <w:i/>
          <w:iCs/>
          <w:lang w:val="fr-FR"/>
        </w:rPr>
        <w:t xml:space="preserve"> indiqué</w:t>
      </w:r>
      <w:r w:rsidR="004A4156" w:rsidRPr="007C14AA">
        <w:rPr>
          <w:rStyle w:val="Strong"/>
          <w:b w:val="0"/>
          <w:bCs w:val="0"/>
          <w:i/>
          <w:iCs/>
          <w:lang w:val="fr-FR"/>
        </w:rPr>
        <w:t>.</w:t>
      </w:r>
      <w:r w:rsidR="004A4156" w:rsidRPr="007C14AA">
        <w:rPr>
          <w:rStyle w:val="Strong"/>
          <w:b w:val="0"/>
          <w:bCs w:val="0"/>
          <w:i/>
          <w:iCs/>
          <w:lang w:val="fr-FR"/>
        </w:rPr>
        <w:t xml:space="preserve"> </w:t>
      </w:r>
      <w:r w:rsidRPr="007C14AA">
        <w:rPr>
          <w:b/>
          <w:bCs/>
          <w:i/>
          <w:iCs/>
          <w:lang w:val="fr-FR"/>
        </w:rPr>
        <w:br/>
      </w:r>
      <w:r w:rsidR="002576E5" w:rsidRPr="007C14AA">
        <w:rPr>
          <w:lang w:val="fr-FR"/>
        </w:rPr>
        <w:br/>
      </w:r>
      <w:r w:rsidR="004A4156" w:rsidRPr="007C14AA">
        <w:rPr>
          <w:rFonts w:ascii="Verdana" w:eastAsia="Verdana" w:hAnsi="Verdana" w:cs="Verdana"/>
          <w:sz w:val="20"/>
          <w:szCs w:val="20"/>
          <w:lang w:val="fr-FR"/>
        </w:rPr>
        <w:t>Pour accéder au</w:t>
      </w:r>
      <w:r w:rsidR="00CA51A7" w:rsidRPr="007C14AA">
        <w:rPr>
          <w:rFonts w:ascii="Verdana" w:eastAsia="Verdana" w:hAnsi="Verdana" w:cs="Verdana"/>
          <w:sz w:val="20"/>
          <w:szCs w:val="20"/>
          <w:lang w:val="fr-FR"/>
        </w:rPr>
        <w:t>x données du</w:t>
      </w:r>
      <w:r w:rsidR="004A4156" w:rsidRPr="007C14AA">
        <w:rPr>
          <w:rFonts w:ascii="Verdana" w:eastAsia="Verdana" w:hAnsi="Verdana" w:cs="Verdana"/>
          <w:sz w:val="20"/>
          <w:szCs w:val="20"/>
          <w:lang w:val="fr-FR"/>
        </w:rPr>
        <w:t xml:space="preserve"> rapport </w:t>
      </w:r>
      <w:r w:rsidR="004900CB" w:rsidRPr="007C14AA">
        <w:rPr>
          <w:rFonts w:ascii="Verdana" w:eastAsia="Verdana" w:hAnsi="Verdana" w:cs="Verdana"/>
          <w:sz w:val="20"/>
          <w:szCs w:val="20"/>
          <w:lang w:val="fr-FR"/>
        </w:rPr>
        <w:t xml:space="preserve">2023, veuillez cliquer </w:t>
      </w:r>
      <w:hyperlink r:id="rId7">
        <w:r w:rsidR="00E7136D" w:rsidRPr="007C14AA">
          <w:rPr>
            <w:rStyle w:val="Hyperlink"/>
            <w:rFonts w:ascii="Verdana" w:eastAsia="Verdana" w:hAnsi="Verdana" w:cs="Verdana"/>
            <w:sz w:val="20"/>
            <w:szCs w:val="20"/>
            <w:lang w:val="fr-FR"/>
          </w:rPr>
          <w:t>ici</w:t>
        </w:r>
      </w:hyperlink>
      <w:r w:rsidR="002576E5" w:rsidRPr="007C14AA">
        <w:rPr>
          <w:rFonts w:ascii="Verdana" w:eastAsia="Verdana" w:hAnsi="Verdana" w:cs="Verdana"/>
          <w:sz w:val="20"/>
          <w:szCs w:val="20"/>
          <w:lang w:val="fr-FR"/>
        </w:rPr>
        <w:t xml:space="preserve">. </w:t>
      </w:r>
      <w:r w:rsidR="002576E5" w:rsidRPr="007C14AA">
        <w:rPr>
          <w:lang w:val="fr-FR"/>
        </w:rPr>
        <w:br/>
      </w:r>
      <w:r w:rsidR="00D62BE1" w:rsidRPr="007C14AA">
        <w:rPr>
          <w:rFonts w:ascii="Verdana" w:eastAsia="Verdana" w:hAnsi="Verdana" w:cs="Verdana"/>
          <w:sz w:val="20"/>
          <w:szCs w:val="20"/>
          <w:lang w:val="fr-FR"/>
        </w:rPr>
        <w:t xml:space="preserve">Pour télécharger du contenu multimédia, veuillez cliquer </w:t>
      </w:r>
      <w:hyperlink r:id="rId8" w:history="1">
        <w:r w:rsidR="00D62BE1" w:rsidRPr="007C14AA">
          <w:rPr>
            <w:rStyle w:val="Hyperlink"/>
            <w:rFonts w:ascii="Verdana" w:eastAsia="Verdana" w:hAnsi="Verdana" w:cs="Verdana"/>
            <w:sz w:val="20"/>
            <w:szCs w:val="20"/>
            <w:lang w:val="fr-FR"/>
          </w:rPr>
          <w:t>ici</w:t>
        </w:r>
      </w:hyperlink>
      <w:r w:rsidR="002576E5" w:rsidRPr="007C14AA">
        <w:rPr>
          <w:rFonts w:ascii="Verdana" w:eastAsia="Verdana" w:hAnsi="Verdana" w:cs="Verdana"/>
          <w:sz w:val="20"/>
          <w:szCs w:val="20"/>
          <w:lang w:val="fr-FR"/>
        </w:rPr>
        <w:t>.</w:t>
      </w:r>
      <w:r w:rsidRPr="007C14AA">
        <w:rPr>
          <w:rFonts w:ascii="Verdana" w:eastAsia="Verdana" w:hAnsi="Verdana" w:cs="Verdana"/>
          <w:sz w:val="20"/>
          <w:szCs w:val="20"/>
          <w:lang w:val="fr-FR"/>
        </w:rPr>
        <w:t xml:space="preserve"> </w:t>
      </w:r>
      <w:r w:rsidR="002576E5" w:rsidRPr="007C14AA">
        <w:rPr>
          <w:lang w:val="fr-FR"/>
        </w:rPr>
        <w:br/>
      </w:r>
      <w:r w:rsidR="002576E5" w:rsidRPr="007C14AA">
        <w:rPr>
          <w:lang w:val="fr-FR"/>
        </w:rPr>
        <w:br/>
      </w:r>
      <w:r w:rsidR="00B61D68" w:rsidRPr="007C14AA">
        <w:rPr>
          <w:rFonts w:ascii="Verdana" w:hAnsi="Verdana"/>
          <w:b/>
          <w:bCs/>
          <w:color w:val="000000"/>
          <w:sz w:val="20"/>
          <w:szCs w:val="20"/>
          <w:lang w:val="fr-FR"/>
        </w:rPr>
        <w:t>À propos de l’UNICEF</w:t>
      </w:r>
    </w:p>
    <w:p w14:paraId="61D6E63F" w14:textId="7ACF4D33" w:rsidR="00B61D68" w:rsidRPr="007C14AA" w:rsidRDefault="00B61D68" w:rsidP="00B61D68">
      <w:pPr>
        <w:rPr>
          <w:rFonts w:ascii="Verdana" w:hAnsi="Verdana"/>
          <w:sz w:val="20"/>
          <w:szCs w:val="20"/>
          <w:lang w:val="fr-FR"/>
        </w:rPr>
      </w:pPr>
      <w:r w:rsidRPr="007C14AA">
        <w:rPr>
          <w:rFonts w:ascii="Verdana" w:hAnsi="Verdana"/>
          <w:sz w:val="20"/>
          <w:lang w:val="fr-FR"/>
        </w:rPr>
        <w:t>L’UNICEF travaille dans certains des endroits les plus inhospitaliers du monde pour atteindre les enfants les plus défavorisés. Dans plus de 190 pays et territoires, nous travaillons pour chaque enfant, chaque jour, afin de construire un monde meilleur pour tous.</w:t>
      </w:r>
    </w:p>
    <w:p w14:paraId="0C4BE2B2" w14:textId="77777777" w:rsidR="00B61D68" w:rsidRPr="007C14AA" w:rsidRDefault="00B61D68" w:rsidP="00B61D68">
      <w:pPr>
        <w:rPr>
          <w:rFonts w:ascii="Verdana" w:hAnsi="Verdana"/>
          <w:sz w:val="20"/>
          <w:szCs w:val="20"/>
          <w:lang w:val="fr-FR"/>
        </w:rPr>
      </w:pPr>
      <w:r w:rsidRPr="007C14AA">
        <w:rPr>
          <w:rFonts w:ascii="Verdana" w:hAnsi="Verdana"/>
          <w:sz w:val="20"/>
          <w:lang w:val="fr-FR"/>
        </w:rPr>
        <w:lastRenderedPageBreak/>
        <w:t xml:space="preserve">Pour en savoir davantage sur l’UNICEF et son action, veuillez consulter le site : </w:t>
      </w:r>
      <w:hyperlink r:id="rId9">
        <w:r w:rsidRPr="007C14AA">
          <w:rPr>
            <w:rStyle w:val="Hyperlink"/>
            <w:rFonts w:ascii="Verdana" w:hAnsi="Verdana"/>
            <w:lang w:val="fr-FR"/>
          </w:rPr>
          <w:t>www.unicef.org/fr</w:t>
        </w:r>
      </w:hyperlink>
      <w:r w:rsidRPr="007C14AA">
        <w:rPr>
          <w:lang w:val="fr-FR"/>
        </w:rPr>
        <w:t>.</w:t>
      </w:r>
    </w:p>
    <w:p w14:paraId="5644780A" w14:textId="77777777" w:rsidR="00B61D68" w:rsidRPr="007C14AA" w:rsidRDefault="00B61D68" w:rsidP="00B61D68">
      <w:pPr>
        <w:pStyle w:val="NormalWeb"/>
        <w:spacing w:before="0" w:beforeAutospacing="0" w:after="0" w:afterAutospacing="0"/>
        <w:rPr>
          <w:rStyle w:val="Hyperlink"/>
          <w:rFonts w:ascii="Verdana" w:hAnsi="Verdana"/>
          <w:lang w:val="fr-FR"/>
        </w:rPr>
      </w:pPr>
      <w:r w:rsidRPr="007C14AA">
        <w:rPr>
          <w:rFonts w:ascii="Verdana" w:hAnsi="Verdana" w:cstheme="minorBidi"/>
          <w:sz w:val="20"/>
          <w:lang w:val="fr-FR"/>
        </w:rPr>
        <w:t>Suivez-nous sur</w:t>
      </w:r>
      <w:r w:rsidRPr="007C14AA">
        <w:rPr>
          <w:rFonts w:ascii="Verdana" w:hAnsi="Verdana"/>
          <w:sz w:val="20"/>
          <w:lang w:val="fr-FR"/>
        </w:rPr>
        <w:t xml:space="preserve"> </w:t>
      </w:r>
      <w:hyperlink r:id="rId10" w:history="1">
        <w:r w:rsidRPr="007C14AA">
          <w:rPr>
            <w:rStyle w:val="Hyperlink"/>
            <w:rFonts w:ascii="Verdana" w:hAnsi="Verdana"/>
            <w:lang w:val="fr-FR"/>
          </w:rPr>
          <w:t>Twitter</w:t>
        </w:r>
      </w:hyperlink>
      <w:r w:rsidRPr="007C14AA">
        <w:rPr>
          <w:rFonts w:ascii="Verdana" w:hAnsi="Verdana"/>
          <w:sz w:val="20"/>
          <w:lang w:val="fr-FR"/>
        </w:rPr>
        <w:t xml:space="preserve">, </w:t>
      </w:r>
      <w:hyperlink r:id="rId11" w:history="1">
        <w:r w:rsidRPr="007C14AA">
          <w:rPr>
            <w:rStyle w:val="Hyperlink"/>
            <w:rFonts w:ascii="Verdana" w:hAnsi="Verdana"/>
            <w:lang w:val="fr-FR"/>
          </w:rPr>
          <w:t>Facebook</w:t>
        </w:r>
      </w:hyperlink>
      <w:r w:rsidRPr="007C14AA">
        <w:rPr>
          <w:rFonts w:ascii="Verdana" w:hAnsi="Verdana"/>
          <w:sz w:val="20"/>
          <w:lang w:val="fr-FR"/>
        </w:rPr>
        <w:t xml:space="preserve">, </w:t>
      </w:r>
      <w:hyperlink r:id="rId12" w:history="1">
        <w:r w:rsidRPr="007C14AA">
          <w:rPr>
            <w:rStyle w:val="Hyperlink"/>
            <w:rFonts w:ascii="Verdana" w:hAnsi="Verdana"/>
            <w:lang w:val="fr-FR"/>
          </w:rPr>
          <w:t>Instagram</w:t>
        </w:r>
      </w:hyperlink>
      <w:r w:rsidRPr="007C14AA">
        <w:rPr>
          <w:rFonts w:ascii="Verdana" w:hAnsi="Verdana"/>
          <w:sz w:val="20"/>
          <w:lang w:val="fr-FR"/>
        </w:rPr>
        <w:t xml:space="preserve"> et </w:t>
      </w:r>
      <w:hyperlink r:id="rId13" w:history="1">
        <w:r w:rsidRPr="007C14AA">
          <w:rPr>
            <w:rStyle w:val="Hyperlink"/>
            <w:rFonts w:ascii="Verdana" w:hAnsi="Verdana"/>
            <w:lang w:val="fr-FR"/>
          </w:rPr>
          <w:t>YouTube</w:t>
        </w:r>
      </w:hyperlink>
      <w:r w:rsidRPr="007C14AA">
        <w:rPr>
          <w:lang w:val="fr-FR"/>
        </w:rPr>
        <w:t>.</w:t>
      </w:r>
    </w:p>
    <w:p w14:paraId="1BBE0C60" w14:textId="77777777" w:rsidR="00B61D68" w:rsidRPr="007C14AA" w:rsidRDefault="00B61D68" w:rsidP="00B61D68">
      <w:pPr>
        <w:pStyle w:val="NormalWeb"/>
        <w:spacing w:before="0" w:beforeAutospacing="0" w:after="0" w:afterAutospacing="0"/>
        <w:rPr>
          <w:rStyle w:val="Hyperlink"/>
          <w:rFonts w:ascii="Verdana" w:hAnsi="Verdana"/>
          <w:lang w:val="fr-FR"/>
        </w:rPr>
      </w:pPr>
    </w:p>
    <w:p w14:paraId="45003603" w14:textId="64ED7233" w:rsidR="00B61D68" w:rsidRPr="007C14AA" w:rsidRDefault="00B61D68" w:rsidP="00B61D68">
      <w:pPr>
        <w:spacing w:after="0" w:line="240" w:lineRule="auto"/>
        <w:rPr>
          <w:rFonts w:ascii="Verdana" w:hAnsi="Verdana"/>
          <w:b/>
          <w:bCs/>
          <w:color w:val="000000"/>
          <w:sz w:val="20"/>
          <w:szCs w:val="20"/>
          <w:lang w:val="fr-FR"/>
        </w:rPr>
      </w:pPr>
      <w:r w:rsidRPr="007C14AA">
        <w:rPr>
          <w:rFonts w:ascii="Verdana" w:hAnsi="Verdana"/>
          <w:b/>
          <w:bCs/>
          <w:color w:val="000000"/>
          <w:sz w:val="20"/>
          <w:szCs w:val="20"/>
          <w:lang w:val="fr-FR"/>
        </w:rPr>
        <w:t>Pour plus d’informations, veuillez contacter :</w:t>
      </w:r>
    </w:p>
    <w:p w14:paraId="0C73202B" w14:textId="20443BF8" w:rsidR="00B61D68" w:rsidRPr="007C14AA" w:rsidRDefault="00B61D68" w:rsidP="00B61D68">
      <w:pPr>
        <w:spacing w:after="0" w:line="240" w:lineRule="auto"/>
        <w:rPr>
          <w:rFonts w:ascii="Verdana" w:eastAsia="Verdana" w:hAnsi="Verdana" w:cs="Verdana"/>
          <w:color w:val="000000" w:themeColor="text1"/>
          <w:sz w:val="20"/>
          <w:szCs w:val="20"/>
          <w:lang w:val="fr-FR"/>
        </w:rPr>
      </w:pPr>
      <w:r w:rsidRPr="007C14AA">
        <w:rPr>
          <w:rFonts w:ascii="Verdana" w:eastAsia="Verdana" w:hAnsi="Verdana" w:cs="Verdana"/>
          <w:sz w:val="20"/>
          <w:szCs w:val="20"/>
          <w:lang w:val="fr-FR"/>
        </w:rPr>
        <w:t xml:space="preserve">Nadia Samie-Jacobs, UNICEF New York, </w:t>
      </w:r>
      <w:hyperlink r:id="rId14">
        <w:r w:rsidRPr="007C14AA">
          <w:rPr>
            <w:rStyle w:val="Hyperlink"/>
            <w:rFonts w:ascii="Verdana" w:eastAsia="Verdana" w:hAnsi="Verdana" w:cs="Verdana"/>
            <w:sz w:val="20"/>
            <w:szCs w:val="20"/>
            <w:lang w:val="fr-FR"/>
          </w:rPr>
          <w:t>nsamie@unicef.org</w:t>
        </w:r>
      </w:hyperlink>
      <w:r w:rsidRPr="007C14AA">
        <w:rPr>
          <w:rFonts w:ascii="Verdana" w:eastAsia="Verdana" w:hAnsi="Verdana" w:cs="Verdana"/>
          <w:sz w:val="20"/>
          <w:szCs w:val="20"/>
          <w:lang w:val="fr-FR"/>
        </w:rPr>
        <w:t xml:space="preserve">, </w:t>
      </w:r>
      <w:r w:rsidRPr="007C14AA">
        <w:rPr>
          <w:rFonts w:ascii="Verdana" w:eastAsia="Verdana" w:hAnsi="Verdana" w:cs="Verdana"/>
          <w:sz w:val="20"/>
          <w:szCs w:val="20"/>
          <w:lang w:val="fr-FR"/>
        </w:rPr>
        <w:t>té</w:t>
      </w:r>
      <w:r w:rsidRPr="007C14AA">
        <w:rPr>
          <w:rFonts w:ascii="Verdana" w:eastAsia="Verdana" w:hAnsi="Verdana" w:cs="Verdana"/>
          <w:sz w:val="20"/>
          <w:szCs w:val="20"/>
          <w:lang w:val="fr-FR"/>
        </w:rPr>
        <w:t>l</w:t>
      </w:r>
      <w:r w:rsidRPr="007C14AA">
        <w:rPr>
          <w:rFonts w:ascii="Verdana" w:eastAsia="Verdana" w:hAnsi="Verdana" w:cs="Verdana"/>
          <w:sz w:val="20"/>
          <w:szCs w:val="20"/>
          <w:lang w:val="fr-FR"/>
        </w:rPr>
        <w:t>. </w:t>
      </w:r>
      <w:r w:rsidRPr="007C14AA">
        <w:rPr>
          <w:rFonts w:ascii="Verdana" w:eastAsia="Verdana" w:hAnsi="Verdana" w:cs="Verdana"/>
          <w:sz w:val="20"/>
          <w:szCs w:val="20"/>
          <w:lang w:val="fr-FR"/>
        </w:rPr>
        <w:t>: +1 (845)760 2615</w:t>
      </w:r>
    </w:p>
    <w:p w14:paraId="320888C1" w14:textId="77777777" w:rsidR="00B61D68" w:rsidRPr="007C14AA" w:rsidRDefault="00B61D68" w:rsidP="00B61D68">
      <w:pPr>
        <w:spacing w:after="0" w:line="240" w:lineRule="auto"/>
        <w:rPr>
          <w:rFonts w:ascii="Verdana" w:hAnsi="Verdana"/>
          <w:b/>
          <w:bCs/>
          <w:color w:val="000000"/>
          <w:sz w:val="20"/>
          <w:szCs w:val="20"/>
          <w:lang w:val="fr-FR"/>
        </w:rPr>
      </w:pPr>
    </w:p>
    <w:p w14:paraId="26078AAE" w14:textId="77777777" w:rsidR="00B61D68" w:rsidRPr="007C14AA" w:rsidRDefault="00B61D68" w:rsidP="00B61D68">
      <w:pPr>
        <w:spacing w:after="0" w:line="240" w:lineRule="auto"/>
        <w:rPr>
          <w:rFonts w:ascii="Verdana" w:eastAsia="Verdana" w:hAnsi="Verdana" w:cs="Verdana"/>
          <w:b/>
          <w:bCs/>
          <w:sz w:val="20"/>
          <w:szCs w:val="20"/>
          <w:lang w:val="fr-FR"/>
        </w:rPr>
      </w:pPr>
    </w:p>
    <w:p w14:paraId="223D903A" w14:textId="77777777" w:rsidR="002576E5" w:rsidRPr="007C14AA" w:rsidRDefault="002576E5" w:rsidP="002576E5">
      <w:pPr>
        <w:spacing w:after="0" w:line="240" w:lineRule="auto"/>
        <w:rPr>
          <w:lang w:val="fr-FR"/>
        </w:rPr>
      </w:pPr>
    </w:p>
    <w:p w14:paraId="03DE21CA" w14:textId="77777777" w:rsidR="004949C2" w:rsidRPr="007C14AA" w:rsidRDefault="004949C2">
      <w:pPr>
        <w:rPr>
          <w:lang w:val="fr-FR"/>
        </w:rPr>
      </w:pPr>
    </w:p>
    <w:sectPr w:rsidR="004949C2" w:rsidRPr="007C14AA">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B68C7" w14:textId="77777777" w:rsidR="00C45E3C" w:rsidRDefault="00C45E3C">
      <w:pPr>
        <w:spacing w:after="0" w:line="240" w:lineRule="auto"/>
      </w:pPr>
      <w:r>
        <w:separator/>
      </w:r>
    </w:p>
  </w:endnote>
  <w:endnote w:type="continuationSeparator" w:id="0">
    <w:p w14:paraId="74352D0F" w14:textId="77777777" w:rsidR="00C45E3C" w:rsidRDefault="00C45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C769A" w14:textId="77777777" w:rsidR="00C45E3C" w:rsidRDefault="00C45E3C">
      <w:pPr>
        <w:spacing w:after="0" w:line="240" w:lineRule="auto"/>
      </w:pPr>
      <w:r>
        <w:separator/>
      </w:r>
    </w:p>
  </w:footnote>
  <w:footnote w:type="continuationSeparator" w:id="0">
    <w:p w14:paraId="121EEBEE" w14:textId="77777777" w:rsidR="00C45E3C" w:rsidRDefault="00C45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C076" w14:textId="77777777" w:rsidR="005E39C1" w:rsidRDefault="00000000">
    <w:pPr>
      <w:pStyle w:val="Header"/>
    </w:pPr>
    <w:r>
      <w:rPr>
        <w:rFonts w:ascii="Verdana" w:hAnsi="Verdana"/>
        <w:b/>
        <w:bCs/>
        <w:noProof/>
        <w:color w:val="FF0000"/>
        <w:sz w:val="28"/>
        <w:szCs w:val="28"/>
        <w:shd w:val="clear" w:color="auto" w:fill="E6E6E6"/>
      </w:rPr>
      <w:drawing>
        <wp:anchor distT="0" distB="0" distL="114300" distR="114300" simplePos="0" relativeHeight="251659264" behindDoc="0" locked="0" layoutInCell="1" allowOverlap="1" wp14:anchorId="16BF6F6A" wp14:editId="4921F293">
          <wp:simplePos x="0" y="0"/>
          <wp:positionH relativeFrom="page">
            <wp:align>left</wp:align>
          </wp:positionH>
          <wp:positionV relativeFrom="paragraph">
            <wp:posOffset>-457200</wp:posOffset>
          </wp:positionV>
          <wp:extent cx="7762240" cy="8255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_Logo.png"/>
                  <pic:cNvPicPr/>
                </pic:nvPicPr>
                <pic:blipFill>
                  <a:blip r:embed="rId1">
                    <a:extLst>
                      <a:ext uri="{28A0092B-C50C-407E-A947-70E740481C1C}">
                        <a14:useLocalDpi xmlns:a14="http://schemas.microsoft.com/office/drawing/2010/main" val="0"/>
                      </a:ext>
                    </a:extLst>
                  </a:blip>
                  <a:stretch>
                    <a:fillRect/>
                  </a:stretch>
                </pic:blipFill>
                <pic:spPr>
                  <a:xfrm>
                    <a:off x="0" y="0"/>
                    <a:ext cx="7805362" cy="83008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6E5"/>
    <w:rsid w:val="0001435D"/>
    <w:rsid w:val="00015E4B"/>
    <w:rsid w:val="00031476"/>
    <w:rsid w:val="00060FEB"/>
    <w:rsid w:val="000824A5"/>
    <w:rsid w:val="00083268"/>
    <w:rsid w:val="000F0EFD"/>
    <w:rsid w:val="00152F15"/>
    <w:rsid w:val="001703F2"/>
    <w:rsid w:val="00190FB4"/>
    <w:rsid w:val="001D0CFF"/>
    <w:rsid w:val="001E0BFA"/>
    <w:rsid w:val="00214FE0"/>
    <w:rsid w:val="00225149"/>
    <w:rsid w:val="0024374B"/>
    <w:rsid w:val="002576E5"/>
    <w:rsid w:val="002579AB"/>
    <w:rsid w:val="002621F1"/>
    <w:rsid w:val="00270B7C"/>
    <w:rsid w:val="00284725"/>
    <w:rsid w:val="00290E16"/>
    <w:rsid w:val="002958DE"/>
    <w:rsid w:val="002A3188"/>
    <w:rsid w:val="002B45E7"/>
    <w:rsid w:val="002B66A4"/>
    <w:rsid w:val="002D3C65"/>
    <w:rsid w:val="002D72ED"/>
    <w:rsid w:val="002E15A5"/>
    <w:rsid w:val="002E4B88"/>
    <w:rsid w:val="002E5D28"/>
    <w:rsid w:val="00307B5D"/>
    <w:rsid w:val="003118E8"/>
    <w:rsid w:val="00334FC4"/>
    <w:rsid w:val="00354AD1"/>
    <w:rsid w:val="00361A2C"/>
    <w:rsid w:val="0037279B"/>
    <w:rsid w:val="003817D0"/>
    <w:rsid w:val="003913FF"/>
    <w:rsid w:val="003B2D8F"/>
    <w:rsid w:val="003C0E09"/>
    <w:rsid w:val="003E2B07"/>
    <w:rsid w:val="003F33D2"/>
    <w:rsid w:val="003F3695"/>
    <w:rsid w:val="003F39F0"/>
    <w:rsid w:val="004033CD"/>
    <w:rsid w:val="004260A8"/>
    <w:rsid w:val="00436F8B"/>
    <w:rsid w:val="00440DA9"/>
    <w:rsid w:val="00442CBA"/>
    <w:rsid w:val="00475EA3"/>
    <w:rsid w:val="004801B7"/>
    <w:rsid w:val="004802F0"/>
    <w:rsid w:val="00483A80"/>
    <w:rsid w:val="00487C22"/>
    <w:rsid w:val="004900CB"/>
    <w:rsid w:val="0049499F"/>
    <w:rsid w:val="004949C2"/>
    <w:rsid w:val="00497616"/>
    <w:rsid w:val="004A4011"/>
    <w:rsid w:val="004A4156"/>
    <w:rsid w:val="004D2F66"/>
    <w:rsid w:val="004E3C14"/>
    <w:rsid w:val="004E54E0"/>
    <w:rsid w:val="004F0AD2"/>
    <w:rsid w:val="00501F70"/>
    <w:rsid w:val="00526885"/>
    <w:rsid w:val="00545890"/>
    <w:rsid w:val="00556089"/>
    <w:rsid w:val="00577318"/>
    <w:rsid w:val="00586507"/>
    <w:rsid w:val="005E6C00"/>
    <w:rsid w:val="005F0ED8"/>
    <w:rsid w:val="005F68E4"/>
    <w:rsid w:val="00603A54"/>
    <w:rsid w:val="006316B6"/>
    <w:rsid w:val="00641C2B"/>
    <w:rsid w:val="00661F00"/>
    <w:rsid w:val="00675E78"/>
    <w:rsid w:val="006B1C36"/>
    <w:rsid w:val="006C1517"/>
    <w:rsid w:val="006D0AAA"/>
    <w:rsid w:val="006F41A0"/>
    <w:rsid w:val="00711A8C"/>
    <w:rsid w:val="007310C8"/>
    <w:rsid w:val="00761E5F"/>
    <w:rsid w:val="00796B05"/>
    <w:rsid w:val="007C14AA"/>
    <w:rsid w:val="007C6818"/>
    <w:rsid w:val="007C764F"/>
    <w:rsid w:val="007D5B61"/>
    <w:rsid w:val="008047DD"/>
    <w:rsid w:val="00806C4A"/>
    <w:rsid w:val="00823007"/>
    <w:rsid w:val="00852AD1"/>
    <w:rsid w:val="00855D37"/>
    <w:rsid w:val="008639EB"/>
    <w:rsid w:val="00864276"/>
    <w:rsid w:val="00893C54"/>
    <w:rsid w:val="008959AE"/>
    <w:rsid w:val="00895A88"/>
    <w:rsid w:val="008B47D8"/>
    <w:rsid w:val="008D15B0"/>
    <w:rsid w:val="008E7756"/>
    <w:rsid w:val="008F00F3"/>
    <w:rsid w:val="008F7481"/>
    <w:rsid w:val="00952696"/>
    <w:rsid w:val="0096703C"/>
    <w:rsid w:val="0097068B"/>
    <w:rsid w:val="009760A7"/>
    <w:rsid w:val="009768BE"/>
    <w:rsid w:val="009843A3"/>
    <w:rsid w:val="00996822"/>
    <w:rsid w:val="009A5C26"/>
    <w:rsid w:val="009C3DA3"/>
    <w:rsid w:val="009C686E"/>
    <w:rsid w:val="009D0DC7"/>
    <w:rsid w:val="009F15D0"/>
    <w:rsid w:val="009F747A"/>
    <w:rsid w:val="00A31533"/>
    <w:rsid w:val="00A43597"/>
    <w:rsid w:val="00A637FF"/>
    <w:rsid w:val="00A84FDE"/>
    <w:rsid w:val="00A9122C"/>
    <w:rsid w:val="00AC1727"/>
    <w:rsid w:val="00AC348F"/>
    <w:rsid w:val="00AC77CF"/>
    <w:rsid w:val="00AE6690"/>
    <w:rsid w:val="00AF0D97"/>
    <w:rsid w:val="00B07434"/>
    <w:rsid w:val="00B1017C"/>
    <w:rsid w:val="00B24720"/>
    <w:rsid w:val="00B37228"/>
    <w:rsid w:val="00B41845"/>
    <w:rsid w:val="00B453C6"/>
    <w:rsid w:val="00B61D68"/>
    <w:rsid w:val="00B83015"/>
    <w:rsid w:val="00B846F8"/>
    <w:rsid w:val="00B971A6"/>
    <w:rsid w:val="00BA1A6C"/>
    <w:rsid w:val="00BC4E6D"/>
    <w:rsid w:val="00C3609F"/>
    <w:rsid w:val="00C45E3C"/>
    <w:rsid w:val="00C879CD"/>
    <w:rsid w:val="00CA51A7"/>
    <w:rsid w:val="00CC559E"/>
    <w:rsid w:val="00CD217D"/>
    <w:rsid w:val="00CD5003"/>
    <w:rsid w:val="00D0712E"/>
    <w:rsid w:val="00D15B67"/>
    <w:rsid w:val="00D22614"/>
    <w:rsid w:val="00D3302C"/>
    <w:rsid w:val="00D415DA"/>
    <w:rsid w:val="00D526D1"/>
    <w:rsid w:val="00D62BE1"/>
    <w:rsid w:val="00D751C4"/>
    <w:rsid w:val="00D9450E"/>
    <w:rsid w:val="00DC38A2"/>
    <w:rsid w:val="00DE6584"/>
    <w:rsid w:val="00DF105F"/>
    <w:rsid w:val="00E15DAE"/>
    <w:rsid w:val="00E1608E"/>
    <w:rsid w:val="00E21617"/>
    <w:rsid w:val="00E60E47"/>
    <w:rsid w:val="00E7136D"/>
    <w:rsid w:val="00E7264A"/>
    <w:rsid w:val="00E7702D"/>
    <w:rsid w:val="00EA5097"/>
    <w:rsid w:val="00ED4C0C"/>
    <w:rsid w:val="00EE33EB"/>
    <w:rsid w:val="00EE756A"/>
    <w:rsid w:val="00EF4A95"/>
    <w:rsid w:val="00EF643F"/>
    <w:rsid w:val="00F1240A"/>
    <w:rsid w:val="00F30661"/>
    <w:rsid w:val="00F374D6"/>
    <w:rsid w:val="00F4257D"/>
    <w:rsid w:val="00F47FAE"/>
    <w:rsid w:val="00F63959"/>
    <w:rsid w:val="00F64B84"/>
    <w:rsid w:val="00F7545B"/>
    <w:rsid w:val="00F7551F"/>
    <w:rsid w:val="00F8599C"/>
    <w:rsid w:val="00F94A6D"/>
    <w:rsid w:val="00FA2598"/>
    <w:rsid w:val="00FB2823"/>
    <w:rsid w:val="00FC64D8"/>
    <w:rsid w:val="00FD524A"/>
    <w:rsid w:val="00FE79A4"/>
    <w:rsid w:val="00FF10D1"/>
    <w:rsid w:val="00FF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060D6"/>
  <w15:chartTrackingRefBased/>
  <w15:docId w15:val="{242A1CD6-4C21-4073-AEEB-8AE1495A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6E5"/>
    <w:rPr>
      <w:rFonts w:ascii="Calibri" w:eastAsia="Calibri" w:hAnsi="Calibri" w:cs="Calibri"/>
    </w:rPr>
  </w:style>
  <w:style w:type="paragraph" w:styleId="Heading3">
    <w:name w:val="heading 3"/>
    <w:basedOn w:val="Normal"/>
    <w:next w:val="Normal"/>
    <w:link w:val="Heading3Char"/>
    <w:uiPriority w:val="9"/>
    <w:semiHidden/>
    <w:unhideWhenUsed/>
    <w:qFormat/>
    <w:rsid w:val="002576E5"/>
    <w:pPr>
      <w:keepNext/>
      <w:keepLines/>
      <w:spacing w:before="280" w:after="80"/>
      <w:outlineLvl w:val="2"/>
    </w:pPr>
    <w:rPr>
      <w:b/>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576E5"/>
    <w:rPr>
      <w:rFonts w:ascii="Calibri" w:eastAsia="Calibri" w:hAnsi="Calibri" w:cs="Calibri"/>
      <w:b/>
      <w:sz w:val="28"/>
      <w:szCs w:val="28"/>
    </w:rPr>
  </w:style>
  <w:style w:type="character" w:styleId="Hyperlink">
    <w:name w:val="Hyperlink"/>
    <w:basedOn w:val="DefaultParagraphFont"/>
    <w:uiPriority w:val="99"/>
    <w:unhideWhenUsed/>
    <w:rsid w:val="002576E5"/>
    <w:rPr>
      <w:color w:val="0563C1"/>
      <w:u w:val="single"/>
    </w:rPr>
  </w:style>
  <w:style w:type="paragraph" w:styleId="Header">
    <w:name w:val="header"/>
    <w:basedOn w:val="Normal"/>
    <w:link w:val="HeaderChar"/>
    <w:uiPriority w:val="99"/>
    <w:unhideWhenUsed/>
    <w:rsid w:val="0025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6E5"/>
    <w:rPr>
      <w:rFonts w:ascii="Calibri" w:eastAsia="Calibri" w:hAnsi="Calibri" w:cs="Calibri"/>
    </w:rPr>
  </w:style>
  <w:style w:type="table" w:styleId="TableGrid">
    <w:name w:val="Table Grid"/>
    <w:basedOn w:val="TableNormal"/>
    <w:uiPriority w:val="59"/>
    <w:rsid w:val="002576E5"/>
    <w:pPr>
      <w:spacing w:after="0" w:line="240" w:lineRule="auto"/>
    </w:pPr>
    <w:rPr>
      <w:rFonts w:ascii="Calibri" w:eastAsia="Calibri" w:hAnsi="Calibri" w:cs="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711A8C"/>
    <w:pPr>
      <w:spacing w:after="0" w:line="240" w:lineRule="auto"/>
    </w:pPr>
    <w:rPr>
      <w:rFonts w:ascii="Calibri" w:eastAsia="Calibri" w:hAnsi="Calibri" w:cs="Calibri"/>
    </w:rPr>
  </w:style>
  <w:style w:type="character" w:styleId="CommentReference">
    <w:name w:val="annotation reference"/>
    <w:basedOn w:val="DefaultParagraphFont"/>
    <w:uiPriority w:val="99"/>
    <w:semiHidden/>
    <w:unhideWhenUsed/>
    <w:rsid w:val="00952696"/>
    <w:rPr>
      <w:sz w:val="16"/>
      <w:szCs w:val="16"/>
    </w:rPr>
  </w:style>
  <w:style w:type="paragraph" w:styleId="CommentText">
    <w:name w:val="annotation text"/>
    <w:basedOn w:val="Normal"/>
    <w:link w:val="CommentTextChar"/>
    <w:uiPriority w:val="99"/>
    <w:semiHidden/>
    <w:unhideWhenUsed/>
    <w:rsid w:val="00952696"/>
    <w:pPr>
      <w:spacing w:line="240" w:lineRule="auto"/>
    </w:pPr>
    <w:rPr>
      <w:sz w:val="20"/>
      <w:szCs w:val="20"/>
    </w:rPr>
  </w:style>
  <w:style w:type="character" w:customStyle="1" w:styleId="CommentTextChar">
    <w:name w:val="Comment Text Char"/>
    <w:basedOn w:val="DefaultParagraphFont"/>
    <w:link w:val="CommentText"/>
    <w:uiPriority w:val="99"/>
    <w:semiHidden/>
    <w:rsid w:val="0095269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52696"/>
    <w:rPr>
      <w:b/>
      <w:bCs/>
    </w:rPr>
  </w:style>
  <w:style w:type="character" w:customStyle="1" w:styleId="CommentSubjectChar">
    <w:name w:val="Comment Subject Char"/>
    <w:basedOn w:val="CommentTextChar"/>
    <w:link w:val="CommentSubject"/>
    <w:uiPriority w:val="99"/>
    <w:semiHidden/>
    <w:rsid w:val="00952696"/>
    <w:rPr>
      <w:rFonts w:ascii="Calibri" w:eastAsia="Calibri" w:hAnsi="Calibri" w:cs="Calibri"/>
      <w:b/>
      <w:bCs/>
      <w:sz w:val="20"/>
      <w:szCs w:val="20"/>
    </w:rPr>
  </w:style>
  <w:style w:type="character" w:styleId="UnresolvedMention">
    <w:name w:val="Unresolved Mention"/>
    <w:basedOn w:val="DefaultParagraphFont"/>
    <w:uiPriority w:val="99"/>
    <w:semiHidden/>
    <w:unhideWhenUsed/>
    <w:rsid w:val="009F747A"/>
    <w:rPr>
      <w:color w:val="605E5C"/>
      <w:shd w:val="clear" w:color="auto" w:fill="E1DFDD"/>
    </w:rPr>
  </w:style>
  <w:style w:type="character" w:customStyle="1" w:styleId="normaltextrun">
    <w:name w:val="normaltextrun"/>
    <w:basedOn w:val="DefaultParagraphFont"/>
    <w:rsid w:val="00015E4B"/>
  </w:style>
  <w:style w:type="character" w:styleId="Strong">
    <w:name w:val="Strong"/>
    <w:basedOn w:val="DefaultParagraphFont"/>
    <w:uiPriority w:val="22"/>
    <w:qFormat/>
    <w:rsid w:val="00E1608E"/>
    <w:rPr>
      <w:b/>
      <w:bCs/>
    </w:rPr>
  </w:style>
  <w:style w:type="character" w:styleId="FollowedHyperlink">
    <w:name w:val="FollowedHyperlink"/>
    <w:basedOn w:val="DefaultParagraphFont"/>
    <w:uiPriority w:val="99"/>
    <w:semiHidden/>
    <w:unhideWhenUsed/>
    <w:rsid w:val="00ED4C0C"/>
    <w:rPr>
      <w:color w:val="954F72" w:themeColor="followedHyperlink"/>
      <w:u w:val="single"/>
    </w:rPr>
  </w:style>
  <w:style w:type="paragraph" w:styleId="NormalWeb">
    <w:name w:val="Normal (Web)"/>
    <w:basedOn w:val="Normal"/>
    <w:uiPriority w:val="99"/>
    <w:unhideWhenUsed/>
    <w:rsid w:val="00B61D68"/>
    <w:pPr>
      <w:spacing w:before="100" w:beforeAutospacing="1" w:after="100" w:afterAutospacing="1"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hare.unicef.org/Package/2AM4089PKFL7" TargetMode="External"/><Relationship Id="rId13" Type="http://schemas.openxmlformats.org/officeDocument/2006/relationships/hyperlink" Target="https://www.youtube.com/user/unicefenfrancais" TargetMode="External"/><Relationship Id="rId3" Type="http://schemas.openxmlformats.org/officeDocument/2006/relationships/webSettings" Target="webSettings.xml"/><Relationship Id="rId7" Type="http://schemas.openxmlformats.org/officeDocument/2006/relationships/hyperlink" Target="https://childrenandaids.org/world-aids-day-2023" TargetMode="External"/><Relationship Id="rId12" Type="http://schemas.openxmlformats.org/officeDocument/2006/relationships/hyperlink" Target="https://instagram.com/unicefenfrancai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hildrenandaids.org/world-aids-day-2023" TargetMode="External"/><Relationship Id="rId11" Type="http://schemas.openxmlformats.org/officeDocument/2006/relationships/hyperlink" Target="https://www.facebook.com/unicefenfran&#231;ais"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twitter.com/unicef_fr" TargetMode="External"/><Relationship Id="rId4" Type="http://schemas.openxmlformats.org/officeDocument/2006/relationships/footnotes" Target="footnotes.xml"/><Relationship Id="rId9" Type="http://schemas.openxmlformats.org/officeDocument/2006/relationships/hyperlink" Target="http://www.unicef.org/fr" TargetMode="External"/><Relationship Id="rId14" Type="http://schemas.openxmlformats.org/officeDocument/2006/relationships/hyperlink" Target="mailto:nsamie@unice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Samie-Jacobs</dc:creator>
  <cp:keywords/>
  <dc:description/>
  <cp:lastModifiedBy>Maud Combier-Perben</cp:lastModifiedBy>
  <cp:revision>181</cp:revision>
  <dcterms:created xsi:type="dcterms:W3CDTF">2023-11-30T07:29:00Z</dcterms:created>
  <dcterms:modified xsi:type="dcterms:W3CDTF">2023-11-30T13:37:00Z</dcterms:modified>
</cp:coreProperties>
</file>